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B2E"/>
          <w:sz w:val="26"/>
        </w:rPr>
        <w:t>Finca Miles</w:t>
      </w:r>
    </w:p>
    <w:p>
      <w:pPr>
        <w:spacing w:after="80"/>
      </w:pPr>
      <w:r>
        <w:rPr>
          <w:color w:val="7C7666"/>
          <w:sz w:val="17"/>
        </w:rPr>
        <w:t>Standard Operating Procedure | Organic Input Management (East Grove)</w:t>
      </w:r>
    </w:p>
    <w:p>
      <w:pPr>
        <w:spacing w:after="120"/>
        <w:pBdr>
          <w:bottom w:val="single" w:sz="12" w:color="5B6B2E" w:space="1"/>
        </w:pBdr>
      </w:pPr>
    </w:p>
    <w:p>
      <w:pPr>
        <w:jc w:val="center"/>
      </w:pPr>
      <w:r>
        <w:rPr>
          <w:b/>
          <w:color w:val="2B2823"/>
          <w:sz w:val="34"/>
        </w:rPr>
        <w:t>SOP, Organic Input Management</w:t>
      </w:r>
    </w:p>
    <w:p>
      <w:pPr>
        <w:jc w:val="center"/>
      </w:pPr>
      <w:r>
        <w:rPr>
          <w:color w:val="B8862B"/>
          <w:sz w:val="21"/>
        </w:rPr>
        <w:t>East grove (E-1/E-2/E-3), EU organic conversion</w:t>
      </w:r>
    </w:p>
    <w:p>
      <w:pPr>
        <w:spacing w:before="180" w:after="40"/>
      </w:pPr>
      <w:r>
        <w:rPr>
          <w:b/>
          <w:color w:val="5B6B2E"/>
          <w:sz w:val="24"/>
        </w:rPr>
        <w:t>1. Purpose and scope</w:t>
      </w:r>
    </w:p>
    <w:p>
      <w:pPr>
        <w:spacing w:after="80"/>
        <w:jc w:val="both"/>
      </w:pPr>
      <w:r>
        <w:rPr>
          <w:sz w:val="21"/>
        </w:rPr>
        <w:t>This procedure governs every input applied to the east grove during the organic conversion, so that the estate stays inside EU organic rules and can prove it at audit. It applies to parcels E-1, E-2 and E-3 (12 hectares) and to anyone working them, including the foreman, the crew and the owner.</w:t>
      </w:r>
    </w:p>
    <w:p>
      <w:pPr>
        <w:spacing w:before="180" w:after="40"/>
      </w:pPr>
      <w:r>
        <w:rPr>
          <w:b/>
          <w:color w:val="5B6B2E"/>
          <w:sz w:val="24"/>
        </w:rPr>
        <w:t>2. Golden rules</w:t>
      </w:r>
    </w:p>
    <w:p>
      <w:pPr>
        <w:pStyle w:val="ListBullet"/>
        <w:spacing w:after="20"/>
      </w:pPr>
      <w:r>
        <w:rPr>
          <w:sz w:val="21"/>
        </w:rPr>
        <w:t>Only EU-permitted inputs touch the east grove, if in doubt, do not apply and ask.</w:t>
      </w:r>
    </w:p>
    <w:p>
      <w:pPr>
        <w:pStyle w:val="ListBullet"/>
        <w:spacing w:after="20"/>
      </w:pPr>
      <w:r>
        <w:rPr>
          <w:sz w:val="21"/>
        </w:rPr>
        <w:t>Every operation is logged the same day in the field diary (workbook X03): date, parcel, operation, product, rate, batch lot, operator.</w:t>
      </w:r>
    </w:p>
    <w:p>
      <w:pPr>
        <w:pStyle w:val="ListBullet"/>
        <w:spacing w:after="20"/>
      </w:pPr>
      <w:r>
        <w:rPr>
          <w:sz w:val="21"/>
        </w:rPr>
        <w:t>Copper is capped at 4.0 kg Cu per hectare per year, track the running total before every pass.</w:t>
      </w:r>
    </w:p>
    <w:p>
      <w:pPr>
        <w:pStyle w:val="ListBullet"/>
        <w:spacing w:after="20"/>
      </w:pPr>
      <w:r>
        <w:rPr>
          <w:sz w:val="21"/>
        </w:rPr>
        <w:t>No herbicide, weeds are controlled mechanically.</w:t>
      </w:r>
    </w:p>
    <w:p>
      <w:pPr>
        <w:pStyle w:val="ListBullet"/>
        <w:spacing w:after="20"/>
      </w:pPr>
      <w:r>
        <w:rPr>
          <w:sz w:val="21"/>
        </w:rPr>
        <w:t>Shared equipment is triple-rinsed and logged before any organic pass.</w:t>
      </w:r>
    </w:p>
    <w:p>
      <w:pPr>
        <w:spacing w:before="180" w:after="40"/>
      </w:pPr>
      <w:r>
        <w:rPr>
          <w:b/>
          <w:color w:val="5B6B2E"/>
          <w:sz w:val="24"/>
        </w:rPr>
        <w:t>3. Soil and fertility</w:t>
      </w:r>
    </w:p>
    <w:p>
      <w:pPr>
        <w:pStyle w:val="ListBullet"/>
        <w:spacing w:after="20"/>
      </w:pPr>
      <w:r>
        <w:rPr>
          <w:sz w:val="21"/>
        </w:rPr>
        <w:t>Estate compost (olive pomace plus manure, C:N about 18) at 7-8 t/ha in late winter.</w:t>
      </w:r>
    </w:p>
    <w:p>
      <w:pPr>
        <w:pStyle w:val="ListBullet"/>
        <w:spacing w:after="20"/>
      </w:pPr>
      <w:r>
        <w:rPr>
          <w:sz w:val="21"/>
        </w:rPr>
        <w:t>Cover crops (vetch-faba-mustard in winter; vetch-barley in autumn) sown between rows.</w:t>
      </w:r>
    </w:p>
    <w:p>
      <w:pPr>
        <w:pStyle w:val="ListBullet"/>
        <w:spacing w:after="20"/>
      </w:pPr>
      <w:r>
        <w:rPr>
          <w:sz w:val="21"/>
        </w:rPr>
        <w:t>Mow and incorporate the cover crop before bloom.</w:t>
      </w:r>
    </w:p>
    <w:p>
      <w:pPr>
        <w:pStyle w:val="ListBullet"/>
        <w:spacing w:after="20"/>
      </w:pPr>
      <w:r>
        <w:rPr>
          <w:sz w:val="21"/>
        </w:rPr>
        <w:t>Foliar potassium sulfate at fruit set; seaweed extract as a tonic, record batch numbers.</w:t>
      </w:r>
    </w:p>
    <w:p>
      <w:r>
        <w:br w:type="page"/>
      </w:r>
    </w:p>
    <w:p>
      <w:pPr>
        <w:spacing w:before="180" w:after="40"/>
      </w:pPr>
      <w:r>
        <w:rPr>
          <w:b/>
          <w:color w:val="5B6B2E"/>
          <w:sz w:val="24"/>
        </w:rPr>
        <w:t>4. Plant protection decision guide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5B6B2E"/>
          </w:tcPr>
          <w:p>
            <w:r>
              <w:rPr>
                <w:b/>
                <w:color w:val="FFFFFF"/>
              </w:rPr>
            </w:r>
            <w:r>
              <w:rPr>
                <w:b/>
                <w:color w:val="FFFFFF"/>
                <w:sz w:val="17"/>
              </w:rPr>
              <w:t>Target</w:t>
            </w:r>
          </w:p>
        </w:tc>
        <w:tc>
          <w:tcPr>
            <w:tcW w:type="dxa" w:w="2340"/>
            <w:shd w:val="clear" w:fill="5B6B2E"/>
          </w:tcPr>
          <w:p>
            <w:r>
              <w:rPr>
                <w:b/>
                <w:color w:val="FFFFFF"/>
              </w:rPr>
            </w:r>
            <w:r>
              <w:rPr>
                <w:b/>
                <w:color w:val="FFFFFF"/>
                <w:sz w:val="17"/>
              </w:rPr>
              <w:t>Permitted input</w:t>
            </w:r>
          </w:p>
        </w:tc>
        <w:tc>
          <w:tcPr>
            <w:tcW w:type="dxa" w:w="2340"/>
            <w:shd w:val="clear" w:fill="5B6B2E"/>
          </w:tcPr>
          <w:p>
            <w:r>
              <w:rPr>
                <w:b/>
                <w:color w:val="FFFFFF"/>
              </w:rPr>
            </w:r>
            <w:r>
              <w:rPr>
                <w:b/>
                <w:color w:val="FFFFFF"/>
                <w:sz w:val="17"/>
              </w:rPr>
              <w:t>Trigger</w:t>
            </w:r>
          </w:p>
        </w:tc>
        <w:tc>
          <w:tcPr>
            <w:tcW w:type="dxa" w:w="2340"/>
            <w:shd w:val="clear" w:fill="5B6B2E"/>
          </w:tcPr>
          <w:p>
            <w:r>
              <w:rPr>
                <w:b/>
                <w:color w:val="FFFFFF"/>
              </w:rPr>
            </w:r>
            <w:r>
              <w:rPr>
                <w:b/>
                <w:color w:val="FFFFFF"/>
                <w:sz w:val="17"/>
              </w:rPr>
              <w:t>Cap / note</w:t>
            </w:r>
          </w:p>
        </w:tc>
      </w:tr>
      <w:tr>
        <w:tc>
          <w:tcPr>
            <w:tcW w:type="dxa" w:w="2340"/>
          </w:tcPr>
          <w:p>
            <w:r/>
            <w:r>
              <w:rPr>
                <w:sz w:val="17"/>
              </w:rPr>
              <w:t>Peacock spot (repilo)</w:t>
            </w:r>
          </w:p>
        </w:tc>
        <w:tc>
          <w:tcPr>
            <w:tcW w:type="dxa" w:w="2340"/>
          </w:tcPr>
          <w:p>
            <w:r/>
            <w:r>
              <w:rPr>
                <w:sz w:val="17"/>
              </w:rPr>
              <w:t>Copper hydroxide</w:t>
            </w:r>
          </w:p>
        </w:tc>
        <w:tc>
          <w:tcPr>
            <w:tcW w:type="dxa" w:w="2340"/>
          </w:tcPr>
          <w:p>
            <w:r/>
            <w:r>
              <w:rPr>
                <w:sz w:val="17"/>
              </w:rPr>
              <w:t>wet spells, leaf spotting</w:t>
            </w:r>
          </w:p>
        </w:tc>
        <w:tc>
          <w:tcPr>
            <w:tcW w:type="dxa" w:w="2340"/>
          </w:tcPr>
          <w:p>
            <w:r/>
            <w:r>
              <w:rPr>
                <w:sz w:val="17"/>
              </w:rPr>
              <w:t>&lt;= 4.0 kg Cu/ha/yr</w:t>
            </w:r>
          </w:p>
        </w:tc>
      </w:tr>
      <w:tr>
        <w:tc>
          <w:tcPr>
            <w:tcW w:type="dxa" w:w="2340"/>
          </w:tcPr>
          <w:p>
            <w:r/>
            <w:r>
              <w:rPr>
                <w:sz w:val="17"/>
              </w:rPr>
              <w:t>Olive moth (Prays)</w:t>
            </w:r>
          </w:p>
        </w:tc>
        <w:tc>
          <w:tcPr>
            <w:tcW w:type="dxa" w:w="2340"/>
          </w:tcPr>
          <w:p>
            <w:r/>
            <w:r>
              <w:rPr>
                <w:sz w:val="17"/>
              </w:rPr>
              <w:t>Bt kurstaki</w:t>
            </w:r>
          </w:p>
        </w:tc>
        <w:tc>
          <w:tcPr>
            <w:tcW w:type="dxa" w:w="2340"/>
          </w:tcPr>
          <w:p>
            <w:r/>
            <w:r>
              <w:rPr>
                <w:sz w:val="17"/>
              </w:rPr>
              <w:t>flower generation</w:t>
            </w:r>
          </w:p>
        </w:tc>
        <w:tc>
          <w:tcPr>
            <w:tcW w:type="dxa" w:w="2340"/>
          </w:tcPr>
          <w:p>
            <w:r/>
            <w:r>
              <w:rPr>
                <w:sz w:val="17"/>
              </w:rPr>
              <w:t>per label</w:t>
            </w:r>
          </w:p>
        </w:tc>
      </w:tr>
      <w:tr>
        <w:tc>
          <w:tcPr>
            <w:tcW w:type="dxa" w:w="2340"/>
          </w:tcPr>
          <w:p>
            <w:r/>
            <w:r>
              <w:rPr>
                <w:sz w:val="17"/>
              </w:rPr>
              <w:t>Olive fruit fly (early)</w:t>
            </w:r>
          </w:p>
        </w:tc>
        <w:tc>
          <w:tcPr>
            <w:tcW w:type="dxa" w:w="2340"/>
          </w:tcPr>
          <w:p>
            <w:r/>
            <w:r>
              <w:rPr>
                <w:sz w:val="17"/>
              </w:rPr>
              <w:t>Yellow traps; kaolin</w:t>
            </w:r>
          </w:p>
        </w:tc>
        <w:tc>
          <w:tcPr>
            <w:tcW w:type="dxa" w:w="2340"/>
          </w:tcPr>
          <w:p>
            <w:r/>
            <w:r>
              <w:rPr>
                <w:sz w:val="17"/>
              </w:rPr>
              <w:t>trap captures rising</w:t>
            </w:r>
          </w:p>
        </w:tc>
        <w:tc>
          <w:tcPr>
            <w:tcW w:type="dxa" w:w="2340"/>
          </w:tcPr>
          <w:p>
            <w:r/>
            <w:r>
              <w:rPr>
                <w:sz w:val="17"/>
              </w:rPr>
              <w:t>monitor first</w:t>
            </w:r>
          </w:p>
        </w:tc>
      </w:tr>
      <w:tr>
        <w:tc>
          <w:tcPr>
            <w:tcW w:type="dxa" w:w="2340"/>
          </w:tcPr>
          <w:p>
            <w:r/>
            <w:r>
              <w:rPr>
                <w:sz w:val="17"/>
              </w:rPr>
              <w:t>Olive fruit fly (control)</w:t>
            </w:r>
          </w:p>
        </w:tc>
        <w:tc>
          <w:tcPr>
            <w:tcW w:type="dxa" w:w="2340"/>
          </w:tcPr>
          <w:p>
            <w:r/>
            <w:r>
              <w:rPr>
                <w:sz w:val="17"/>
              </w:rPr>
              <w:t>Spinosad bait (Annex II)</w:t>
            </w:r>
          </w:p>
        </w:tc>
        <w:tc>
          <w:tcPr>
            <w:tcW w:type="dxa" w:w="2340"/>
          </w:tcPr>
          <w:p>
            <w:r/>
            <w:r>
              <w:rPr>
                <w:sz w:val="17"/>
              </w:rPr>
              <w:t>threshold exceeded</w:t>
            </w:r>
          </w:p>
        </w:tc>
        <w:tc>
          <w:tcPr>
            <w:tcW w:type="dxa" w:w="2340"/>
          </w:tcPr>
          <w:p>
            <w:r/>
            <w:r>
              <w:rPr>
                <w:sz w:val="17"/>
              </w:rPr>
              <w:t>spot bait, within cap</w:t>
            </w:r>
          </w:p>
        </w:tc>
      </w:tr>
    </w:tbl>
    <w:p>
      <w:pPr>
        <w:spacing w:after="40"/>
      </w:pPr>
    </w:p>
    <w:p>
      <w:pPr>
        <w:spacing w:before="180" w:after="40"/>
      </w:pPr>
      <w:r>
        <w:rPr>
          <w:b/>
          <w:color w:val="5B6B2E"/>
          <w:sz w:val="24"/>
        </w:rPr>
        <w:t>5. Copper ledger procedure</w:t>
      </w:r>
    </w:p>
    <w:p>
      <w:pPr>
        <w:spacing w:after="80"/>
        <w:jc w:val="both"/>
      </w:pPr>
      <w:r>
        <w:rPr>
          <w:sz w:val="21"/>
        </w:rPr>
        <w:t>Before any copper pass, read the running cumulative for the parcel from the field diary. Add the planned rate; if the total would approach 4.0 kg Cu/ha, hold copper and rely on cultural measures. This season E-1 and E-3 reached 3.8 kg/ha and copper was then held; E-2 reached 3.6 kg/ha.</w:t>
      </w:r>
    </w:p>
    <w:p>
      <w:pPr>
        <w:spacing w:before="180" w:after="40"/>
      </w:pPr>
      <w:r>
        <w:rPr>
          <w:b/>
          <w:color w:val="5B6B2E"/>
          <w:sz w:val="24"/>
        </w:rPr>
        <w:t>6. Logging standard</w:t>
      </w:r>
    </w:p>
    <w:p>
      <w:pPr>
        <w:spacing w:after="80"/>
        <w:jc w:val="both"/>
      </w:pPr>
      <w:r>
        <w:rPr>
          <w:sz w:val="21"/>
        </w:rPr>
        <w:t>Each diary line must carry: date, parcel, operation, input product, rate and unit, EU-permitted flag, batch lot, operator and a note. Pending batch numbers (for example a supplier's seaweed extract) are flagged and chased before the audit. The diary is reviewed weekly and never reconstructed from memory.</w:t>
      </w:r>
    </w:p>
    <w:p>
      <w:r>
        <w:br w:type="page"/>
      </w:r>
    </w:p>
    <w:p>
      <w:pPr>
        <w:spacing w:before="180" w:after="40"/>
      </w:pPr>
      <w:r>
        <w:rPr>
          <w:b/>
          <w:color w:val="5B6B2E"/>
          <w:sz w:val="24"/>
        </w:rPr>
        <w:t>7. Shared-equipment control</w:t>
      </w:r>
    </w:p>
    <w:p>
      <w:pPr>
        <w:pStyle w:val="ListBullet"/>
        <w:spacing w:after="20"/>
      </w:pPr>
      <w:r>
        <w:rPr>
          <w:sz w:val="21"/>
        </w:rPr>
        <w:t>Sprayers shared with the adjacent conventional estate are triple-rinsed before organic use.</w:t>
      </w:r>
    </w:p>
    <w:p>
      <w:pPr>
        <w:pStyle w:val="ListBullet"/>
        <w:spacing w:after="20"/>
      </w:pPr>
      <w:r>
        <w:rPr>
          <w:sz w:val="21"/>
        </w:rPr>
        <w:t>The rinse is logged against the operation (for example the 29 July kaolin pass on E-3).</w:t>
      </w:r>
    </w:p>
    <w:p>
      <w:pPr>
        <w:pStyle w:val="ListBullet"/>
        <w:spacing w:after="20"/>
      </w:pPr>
      <w:r>
        <w:rPr>
          <w:sz w:val="21"/>
        </w:rPr>
        <w:t>Where possible, keep a dedicated knapsack sprayer for the organic parcels.</w:t>
      </w:r>
    </w:p>
    <w:p>
      <w:pPr>
        <w:spacing w:before="180" w:after="40"/>
      </w:pPr>
      <w:r>
        <w:rPr>
          <w:b/>
          <w:color w:val="5B6B2E"/>
          <w:sz w:val="24"/>
        </w:rPr>
        <w:t>8. Audit readiness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5B6B2E"/>
          </w:tcPr>
          <w:p>
            <w:r>
              <w:rPr>
                <w:b/>
                <w:color w:val="FFFFFF"/>
              </w:rPr>
            </w:r>
            <w:r>
              <w:rPr>
                <w:b/>
                <w:color w:val="FFFFFF"/>
                <w:sz w:val="17"/>
              </w:rPr>
              <w:t>Record</w:t>
            </w:r>
          </w:p>
        </w:tc>
        <w:tc>
          <w:tcPr>
            <w:tcW w:type="dxa" w:w="3120"/>
            <w:shd w:val="clear" w:fill="5B6B2E"/>
          </w:tcPr>
          <w:p>
            <w:r>
              <w:rPr>
                <w:b/>
                <w:color w:val="FFFFFF"/>
              </w:rPr>
            </w:r>
            <w:r>
              <w:rPr>
                <w:b/>
                <w:color w:val="FFFFFF"/>
                <w:sz w:val="17"/>
              </w:rPr>
              <w:t>Where</w:t>
            </w:r>
          </w:p>
        </w:tc>
        <w:tc>
          <w:tcPr>
            <w:tcW w:type="dxa" w:w="3120"/>
            <w:shd w:val="clear" w:fill="5B6B2E"/>
          </w:tcPr>
          <w:p>
            <w:r>
              <w:rPr>
                <w:b/>
                <w:color w:val="FFFFFF"/>
              </w:rPr>
            </w:r>
            <w:r>
              <w:rPr>
                <w:b/>
                <w:color w:val="FFFFFF"/>
                <w:sz w:val="17"/>
              </w:rPr>
              <w:t>Cadence</w:t>
            </w:r>
          </w:p>
        </w:tc>
      </w:tr>
      <w:tr>
        <w:tc>
          <w:tcPr>
            <w:tcW w:type="dxa" w:w="3120"/>
          </w:tcPr>
          <w:p>
            <w:r/>
            <w:r>
              <w:rPr>
                <w:sz w:val="17"/>
              </w:rPr>
              <w:t>Field diary / inputs</w:t>
            </w:r>
          </w:p>
        </w:tc>
        <w:tc>
          <w:tcPr>
            <w:tcW w:type="dxa" w:w="3120"/>
          </w:tcPr>
          <w:p>
            <w:r/>
            <w:r>
              <w:rPr>
                <w:sz w:val="17"/>
              </w:rPr>
              <w:t>X03</w:t>
            </w:r>
          </w:p>
        </w:tc>
        <w:tc>
          <w:tcPr>
            <w:tcW w:type="dxa" w:w="3120"/>
          </w:tcPr>
          <w:p>
            <w:r/>
            <w:r>
              <w:rPr>
                <w:sz w:val="17"/>
              </w:rPr>
              <w:t>every operation, same day</w:t>
            </w:r>
          </w:p>
        </w:tc>
      </w:tr>
      <w:tr>
        <w:tc>
          <w:tcPr>
            <w:tcW w:type="dxa" w:w="3120"/>
          </w:tcPr>
          <w:p>
            <w:r/>
            <w:r>
              <w:rPr>
                <w:sz w:val="17"/>
              </w:rPr>
              <w:t>Copper running total</w:t>
            </w:r>
          </w:p>
        </w:tc>
        <w:tc>
          <w:tcPr>
            <w:tcW w:type="dxa" w:w="3120"/>
          </w:tcPr>
          <w:p>
            <w:r/>
            <w:r>
              <w:rPr>
                <w:sz w:val="17"/>
              </w:rPr>
              <w:t>X03 notes</w:t>
            </w:r>
          </w:p>
        </w:tc>
        <w:tc>
          <w:tcPr>
            <w:tcW w:type="dxa" w:w="3120"/>
          </w:tcPr>
          <w:p>
            <w:r/>
            <w:r>
              <w:rPr>
                <w:sz w:val="17"/>
              </w:rPr>
              <w:t>before each Cu pass</w:t>
            </w:r>
          </w:p>
        </w:tc>
      </w:tr>
      <w:tr>
        <w:tc>
          <w:tcPr>
            <w:tcW w:type="dxa" w:w="3120"/>
          </w:tcPr>
          <w:p>
            <w:r/>
            <w:r>
              <w:rPr>
                <w:sz w:val="17"/>
              </w:rPr>
              <w:t>Soil results</w:t>
            </w:r>
          </w:p>
        </w:tc>
        <w:tc>
          <w:tcPr>
            <w:tcW w:type="dxa" w:w="3120"/>
          </w:tcPr>
          <w:p>
            <w:r/>
            <w:r>
              <w:rPr>
                <w:sz w:val="17"/>
              </w:rPr>
              <w:t>X09</w:t>
            </w:r>
          </w:p>
        </w:tc>
        <w:tc>
          <w:tcPr>
            <w:tcW w:type="dxa" w:w="3120"/>
          </w:tcPr>
          <w:p>
            <w:r/>
            <w:r>
              <w:rPr>
                <w:sz w:val="17"/>
              </w:rPr>
              <w:t>per Castillo visit</w:t>
            </w:r>
          </w:p>
        </w:tc>
      </w:tr>
      <w:tr>
        <w:tc>
          <w:tcPr>
            <w:tcW w:type="dxa" w:w="3120"/>
          </w:tcPr>
          <w:p>
            <w:r/>
            <w:r>
              <w:rPr>
                <w:sz w:val="17"/>
              </w:rPr>
              <w:t>Buffer-zone map</w:t>
            </w:r>
          </w:p>
        </w:tc>
        <w:tc>
          <w:tcPr>
            <w:tcW w:type="dxa" w:w="3120"/>
          </w:tcPr>
          <w:p>
            <w:r/>
            <w:r>
              <w:rPr>
                <w:sz w:val="17"/>
              </w:rPr>
              <w:t>map annex</w:t>
            </w:r>
          </w:p>
        </w:tc>
        <w:tc>
          <w:tcPr>
            <w:tcW w:type="dxa" w:w="3120"/>
          </w:tcPr>
          <w:p>
            <w:r/>
            <w:r>
              <w:rPr>
                <w:sz w:val="17"/>
              </w:rPr>
              <w:t>kept current</w:t>
            </w:r>
          </w:p>
        </w:tc>
      </w:tr>
      <w:tr>
        <w:tc>
          <w:tcPr>
            <w:tcW w:type="dxa" w:w="3120"/>
          </w:tcPr>
          <w:p>
            <w:r/>
            <w:r>
              <w:rPr>
                <w:sz w:val="17"/>
              </w:rPr>
              <w:t>Segregated press</w:t>
            </w:r>
          </w:p>
        </w:tc>
        <w:tc>
          <w:tcPr>
            <w:tcW w:type="dxa" w:w="3120"/>
          </w:tcPr>
          <w:p>
            <w:r/>
            <w:r>
              <w:rPr>
                <w:sz w:val="17"/>
              </w:rPr>
              <w:t>X02 destinations</w:t>
            </w:r>
          </w:p>
        </w:tc>
        <w:tc>
          <w:tcPr>
            <w:tcW w:type="dxa" w:w="3120"/>
          </w:tcPr>
          <w:p>
            <w:r/>
            <w:r>
              <w:rPr>
                <w:sz w:val="17"/>
              </w:rPr>
              <w:t>each harvest</w:t>
            </w:r>
          </w:p>
        </w:tc>
      </w:tr>
    </w:tbl>
    <w:p>
      <w:pPr>
        <w:spacing w:after="40"/>
      </w:pPr>
    </w:p>
    <w:p>
      <w:pPr>
        <w:spacing w:before="180" w:after="40"/>
      </w:pPr>
      <w:r>
        <w:rPr>
          <w:b/>
          <w:color w:val="5B6B2E"/>
          <w:sz w:val="24"/>
        </w:rPr>
        <w:t>9. Non-conformities</w:t>
      </w:r>
    </w:p>
    <w:p>
      <w:pPr>
        <w:spacing w:after="80"/>
        <w:jc w:val="both"/>
      </w:pPr>
      <w:r>
        <w:rPr>
          <w:sz w:val="21"/>
        </w:rPr>
        <w:t>If a non-permitted input is applied in error, or a cap is exceeded, record it honestly, isolate the affected parcel's fruit from organic sale, and notify the certifier. Concealment risks the whole conversion; honesty costs one parcel-season at most.</w:t>
      </w:r>
    </w:p>
    <w:p>
      <w:r>
        <w:br w:type="page"/>
      </w:r>
    </w:p>
    <w:p>
      <w:pPr>
        <w:spacing w:before="180" w:after="40"/>
      </w:pPr>
      <w:r>
        <w:rPr>
          <w:b/>
          <w:color w:val="5B6B2E"/>
          <w:sz w:val="24"/>
        </w:rPr>
        <w:t>10. Permitted input list (quick reference)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5B6B2E"/>
          </w:tcPr>
          <w:p>
            <w:r>
              <w:rPr>
                <w:b/>
                <w:color w:val="FFFFFF"/>
              </w:rPr>
            </w:r>
            <w:r>
              <w:rPr>
                <w:b/>
                <w:color w:val="FFFFFF"/>
                <w:sz w:val="17"/>
              </w:rPr>
              <w:t>Input</w:t>
            </w:r>
          </w:p>
        </w:tc>
        <w:tc>
          <w:tcPr>
            <w:tcW w:type="dxa" w:w="3120"/>
            <w:shd w:val="clear" w:fill="5B6B2E"/>
          </w:tcPr>
          <w:p>
            <w:r>
              <w:rPr>
                <w:b/>
                <w:color w:val="FFFFFF"/>
              </w:rPr>
            </w:r>
            <w:r>
              <w:rPr>
                <w:b/>
                <w:color w:val="FFFFFF"/>
                <w:sz w:val="17"/>
              </w:rPr>
              <w:t>Use</w:t>
            </w:r>
          </w:p>
        </w:tc>
        <w:tc>
          <w:tcPr>
            <w:tcW w:type="dxa" w:w="3120"/>
            <w:shd w:val="clear" w:fill="5B6B2E"/>
          </w:tcPr>
          <w:p>
            <w:r>
              <w:rPr>
                <w:b/>
                <w:color w:val="FFFFFF"/>
              </w:rPr>
            </w:r>
            <w:r>
              <w:rPr>
                <w:b/>
                <w:color w:val="FFFFFF"/>
                <w:sz w:val="17"/>
              </w:rPr>
              <w:t>EU status</w:t>
            </w:r>
          </w:p>
        </w:tc>
      </w:tr>
      <w:tr>
        <w:tc>
          <w:tcPr>
            <w:tcW w:type="dxa" w:w="3120"/>
          </w:tcPr>
          <w:p>
            <w:r/>
            <w:r>
              <w:rPr>
                <w:sz w:val="17"/>
              </w:rPr>
              <w:t>Estate compost</w:t>
            </w:r>
          </w:p>
        </w:tc>
        <w:tc>
          <w:tcPr>
            <w:tcW w:type="dxa" w:w="3120"/>
          </w:tcPr>
          <w:p>
            <w:r/>
            <w:r>
              <w:rPr>
                <w:sz w:val="17"/>
              </w:rPr>
              <w:t>fertility</w:t>
            </w:r>
          </w:p>
        </w:tc>
        <w:tc>
          <w:tcPr>
            <w:tcW w:type="dxa" w:w="3120"/>
          </w:tcPr>
          <w:p>
            <w:r/>
            <w:r>
              <w:rPr>
                <w:sz w:val="17"/>
              </w:rPr>
              <w:t>permitted</w:t>
            </w:r>
          </w:p>
        </w:tc>
      </w:tr>
      <w:tr>
        <w:tc>
          <w:tcPr>
            <w:tcW w:type="dxa" w:w="3120"/>
          </w:tcPr>
          <w:p>
            <w:r/>
            <w:r>
              <w:rPr>
                <w:sz w:val="17"/>
              </w:rPr>
              <w:t>Cover-crop seed</w:t>
            </w:r>
          </w:p>
        </w:tc>
        <w:tc>
          <w:tcPr>
            <w:tcW w:type="dxa" w:w="3120"/>
          </w:tcPr>
          <w:p>
            <w:r/>
            <w:r>
              <w:rPr>
                <w:sz w:val="17"/>
              </w:rPr>
              <w:t>soil/biomass</w:t>
            </w:r>
          </w:p>
        </w:tc>
        <w:tc>
          <w:tcPr>
            <w:tcW w:type="dxa" w:w="3120"/>
          </w:tcPr>
          <w:p>
            <w:r/>
            <w:r>
              <w:rPr>
                <w:sz w:val="17"/>
              </w:rPr>
              <w:t>permitted</w:t>
            </w:r>
          </w:p>
        </w:tc>
      </w:tr>
      <w:tr>
        <w:tc>
          <w:tcPr>
            <w:tcW w:type="dxa" w:w="3120"/>
          </w:tcPr>
          <w:p>
            <w:r/>
            <w:r>
              <w:rPr>
                <w:sz w:val="17"/>
              </w:rPr>
              <w:t>Copper hydroxide</w:t>
            </w:r>
          </w:p>
        </w:tc>
        <w:tc>
          <w:tcPr>
            <w:tcW w:type="dxa" w:w="3120"/>
          </w:tcPr>
          <w:p>
            <w:r/>
            <w:r>
              <w:rPr>
                <w:sz w:val="17"/>
              </w:rPr>
              <w:t>peacock spot</w:t>
            </w:r>
          </w:p>
        </w:tc>
        <w:tc>
          <w:tcPr>
            <w:tcW w:type="dxa" w:w="3120"/>
          </w:tcPr>
          <w:p>
            <w:r/>
            <w:r>
              <w:rPr>
                <w:sz w:val="17"/>
              </w:rPr>
              <w:t>permitted, capped 4.0 kg Cu/ha/yr</w:t>
            </w:r>
          </w:p>
        </w:tc>
      </w:tr>
      <w:tr>
        <w:tc>
          <w:tcPr>
            <w:tcW w:type="dxa" w:w="3120"/>
          </w:tcPr>
          <w:p>
            <w:r/>
            <w:r>
              <w:rPr>
                <w:sz w:val="17"/>
              </w:rPr>
              <w:t>Bt kurstaki</w:t>
            </w:r>
          </w:p>
        </w:tc>
        <w:tc>
          <w:tcPr>
            <w:tcW w:type="dxa" w:w="3120"/>
          </w:tcPr>
          <w:p>
            <w:r/>
            <w:r>
              <w:rPr>
                <w:sz w:val="17"/>
              </w:rPr>
              <w:t>olive moth</w:t>
            </w:r>
          </w:p>
        </w:tc>
        <w:tc>
          <w:tcPr>
            <w:tcW w:type="dxa" w:w="3120"/>
          </w:tcPr>
          <w:p>
            <w:r/>
            <w:r>
              <w:rPr>
                <w:sz w:val="17"/>
              </w:rPr>
              <w:t>permitted</w:t>
            </w:r>
          </w:p>
        </w:tc>
      </w:tr>
      <w:tr>
        <w:tc>
          <w:tcPr>
            <w:tcW w:type="dxa" w:w="3120"/>
          </w:tcPr>
          <w:p>
            <w:r/>
            <w:r>
              <w:rPr>
                <w:sz w:val="17"/>
              </w:rPr>
              <w:t>Kaolin clay</w:t>
            </w:r>
          </w:p>
        </w:tc>
        <w:tc>
          <w:tcPr>
            <w:tcW w:type="dxa" w:w="3120"/>
          </w:tcPr>
          <w:p>
            <w:r/>
            <w:r>
              <w:rPr>
                <w:sz w:val="17"/>
              </w:rPr>
              <w:t>fruit-fly barrier</w:t>
            </w:r>
          </w:p>
        </w:tc>
        <w:tc>
          <w:tcPr>
            <w:tcW w:type="dxa" w:w="3120"/>
          </w:tcPr>
          <w:p>
            <w:r/>
            <w:r>
              <w:rPr>
                <w:sz w:val="17"/>
              </w:rPr>
              <w:t>permitted</w:t>
            </w:r>
          </w:p>
        </w:tc>
      </w:tr>
      <w:tr>
        <w:tc>
          <w:tcPr>
            <w:tcW w:type="dxa" w:w="3120"/>
          </w:tcPr>
          <w:p>
            <w:r/>
            <w:r>
              <w:rPr>
                <w:sz w:val="17"/>
              </w:rPr>
              <w:t>Spinosad bait (GF-120)</w:t>
            </w:r>
          </w:p>
        </w:tc>
        <w:tc>
          <w:tcPr>
            <w:tcW w:type="dxa" w:w="3120"/>
          </w:tcPr>
          <w:p>
            <w:r/>
            <w:r>
              <w:rPr>
                <w:sz w:val="17"/>
              </w:rPr>
              <w:t>fruit-fly control</w:t>
            </w:r>
          </w:p>
        </w:tc>
        <w:tc>
          <w:tcPr>
            <w:tcW w:type="dxa" w:w="3120"/>
          </w:tcPr>
          <w:p>
            <w:r/>
            <w:r>
              <w:rPr>
                <w:sz w:val="17"/>
              </w:rPr>
              <w:t>permitted (Annex II), within cap</w:t>
            </w:r>
          </w:p>
        </w:tc>
      </w:tr>
      <w:tr>
        <w:tc>
          <w:tcPr>
            <w:tcW w:type="dxa" w:w="3120"/>
          </w:tcPr>
          <w:p>
            <w:r/>
            <w:r>
              <w:rPr>
                <w:sz w:val="17"/>
              </w:rPr>
              <w:t>Potassium sulfate</w:t>
            </w:r>
          </w:p>
        </w:tc>
        <w:tc>
          <w:tcPr>
            <w:tcW w:type="dxa" w:w="3120"/>
          </w:tcPr>
          <w:p>
            <w:r/>
            <w:r>
              <w:rPr>
                <w:sz w:val="17"/>
              </w:rPr>
              <w:t>foliar feed</w:t>
            </w:r>
          </w:p>
        </w:tc>
        <w:tc>
          <w:tcPr>
            <w:tcW w:type="dxa" w:w="3120"/>
          </w:tcPr>
          <w:p>
            <w:r/>
            <w:r>
              <w:rPr>
                <w:sz w:val="17"/>
              </w:rPr>
              <w:t>permitted</w:t>
            </w:r>
          </w:p>
        </w:tc>
      </w:tr>
      <w:tr>
        <w:tc>
          <w:tcPr>
            <w:tcW w:type="dxa" w:w="3120"/>
          </w:tcPr>
          <w:p>
            <w:r/>
            <w:r>
              <w:rPr>
                <w:sz w:val="17"/>
              </w:rPr>
              <w:t>Seaweed extract</w:t>
            </w:r>
          </w:p>
        </w:tc>
        <w:tc>
          <w:tcPr>
            <w:tcW w:type="dxa" w:w="3120"/>
          </w:tcPr>
          <w:p>
            <w:r/>
            <w:r>
              <w:rPr>
                <w:sz w:val="17"/>
              </w:rPr>
              <w:t>tonic</w:t>
            </w:r>
          </w:p>
        </w:tc>
        <w:tc>
          <w:tcPr>
            <w:tcW w:type="dxa" w:w="3120"/>
          </w:tcPr>
          <w:p>
            <w:r/>
            <w:r>
              <w:rPr>
                <w:sz w:val="17"/>
              </w:rPr>
              <w:t>permitted</w:t>
            </w:r>
          </w:p>
        </w:tc>
      </w:tr>
    </w:tbl>
    <w:p>
      <w:pPr>
        <w:spacing w:after="40"/>
      </w:pPr>
    </w:p>
    <w:p>
      <w:pPr>
        <w:spacing w:before="180" w:after="40"/>
      </w:pPr>
      <w:r>
        <w:rPr>
          <w:b/>
          <w:color w:val="5B6B2E"/>
          <w:sz w:val="24"/>
        </w:rPr>
        <w:t>11. This season's copper position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5B6B2E"/>
          </w:tcPr>
          <w:p>
            <w:r>
              <w:rPr>
                <w:b/>
                <w:color w:val="FFFFFF"/>
              </w:rPr>
            </w:r>
            <w:r>
              <w:rPr>
                <w:b/>
                <w:color w:val="FFFFFF"/>
                <w:sz w:val="17"/>
              </w:rPr>
              <w:t>Parcel</w:t>
            </w:r>
          </w:p>
        </w:tc>
        <w:tc>
          <w:tcPr>
            <w:tcW w:type="dxa" w:w="3120"/>
            <w:shd w:val="clear" w:fill="5B6B2E"/>
          </w:tcPr>
          <w:p>
            <w:r>
              <w:rPr>
                <w:b/>
                <w:color w:val="FFFFFF"/>
              </w:rPr>
            </w:r>
            <w:r>
              <w:rPr>
                <w:b/>
                <w:color w:val="FFFFFF"/>
                <w:sz w:val="17"/>
              </w:rPr>
              <w:t>Cumulative kg Cu/ha</w:t>
            </w:r>
          </w:p>
        </w:tc>
        <w:tc>
          <w:tcPr>
            <w:tcW w:type="dxa" w:w="3120"/>
            <w:shd w:val="clear" w:fill="5B6B2E"/>
          </w:tcPr>
          <w:p>
            <w:r>
              <w:rPr>
                <w:b/>
                <w:color w:val="FFFFFF"/>
              </w:rPr>
            </w:r>
            <w:r>
              <w:rPr>
                <w:b/>
                <w:color w:val="FFFFFF"/>
                <w:sz w:val="17"/>
              </w:rPr>
              <w:t>Status</w:t>
            </w:r>
          </w:p>
        </w:tc>
      </w:tr>
      <w:tr>
        <w:tc>
          <w:tcPr>
            <w:tcW w:type="dxa" w:w="3120"/>
          </w:tcPr>
          <w:p>
            <w:r/>
            <w:r>
              <w:rPr>
                <w:sz w:val="17"/>
              </w:rPr>
              <w:t>E-1</w:t>
            </w:r>
          </w:p>
        </w:tc>
        <w:tc>
          <w:tcPr>
            <w:tcW w:type="dxa" w:w="3120"/>
          </w:tcPr>
          <w:p>
            <w:r/>
            <w:r>
              <w:rPr>
                <w:sz w:val="17"/>
              </w:rPr>
              <w:t>3.8</w:t>
            </w:r>
          </w:p>
        </w:tc>
        <w:tc>
          <w:tcPr>
            <w:tcW w:type="dxa" w:w="3120"/>
          </w:tcPr>
          <w:p>
            <w:r/>
            <w:r>
              <w:rPr>
                <w:sz w:val="17"/>
              </w:rPr>
              <w:t>held, near ceiling</w:t>
            </w:r>
          </w:p>
        </w:tc>
      </w:tr>
      <w:tr>
        <w:tc>
          <w:tcPr>
            <w:tcW w:type="dxa" w:w="3120"/>
          </w:tcPr>
          <w:p>
            <w:r/>
            <w:r>
              <w:rPr>
                <w:sz w:val="17"/>
              </w:rPr>
              <w:t>E-2</w:t>
            </w:r>
          </w:p>
        </w:tc>
        <w:tc>
          <w:tcPr>
            <w:tcW w:type="dxa" w:w="3120"/>
          </w:tcPr>
          <w:p>
            <w:r/>
            <w:r>
              <w:rPr>
                <w:sz w:val="17"/>
              </w:rPr>
              <w:t>3.6</w:t>
            </w:r>
          </w:p>
        </w:tc>
        <w:tc>
          <w:tcPr>
            <w:tcW w:type="dxa" w:w="3120"/>
          </w:tcPr>
          <w:p>
            <w:r/>
            <w:r>
              <w:rPr>
                <w:sz w:val="17"/>
              </w:rPr>
              <w:t>ok</w:t>
            </w:r>
          </w:p>
        </w:tc>
      </w:tr>
      <w:tr>
        <w:tc>
          <w:tcPr>
            <w:tcW w:type="dxa" w:w="3120"/>
          </w:tcPr>
          <w:p>
            <w:r/>
            <w:r>
              <w:rPr>
                <w:sz w:val="17"/>
              </w:rPr>
              <w:t>E-3</w:t>
            </w:r>
          </w:p>
        </w:tc>
        <w:tc>
          <w:tcPr>
            <w:tcW w:type="dxa" w:w="3120"/>
          </w:tcPr>
          <w:p>
            <w:r/>
            <w:r>
              <w:rPr>
                <w:sz w:val="17"/>
              </w:rPr>
              <w:t>3.8</w:t>
            </w:r>
          </w:p>
        </w:tc>
        <w:tc>
          <w:tcPr>
            <w:tcW w:type="dxa" w:w="3120"/>
          </w:tcPr>
          <w:p>
            <w:r/>
            <w:r>
              <w:rPr>
                <w:sz w:val="17"/>
              </w:rPr>
              <w:t>held, near ceiling</w:t>
            </w:r>
          </w:p>
        </w:tc>
      </w:tr>
    </w:tbl>
    <w:p>
      <w:pPr>
        <w:spacing w:after="40"/>
      </w:pPr>
    </w:p>
    <w:p>
      <w:pPr>
        <w:spacing w:before="180" w:after="40"/>
      </w:pPr>
      <w:r>
        <w:rPr>
          <w:b/>
          <w:color w:val="5B6B2E"/>
          <w:sz w:val="24"/>
        </w:rPr>
        <w:t>12. Review</w:t>
      </w:r>
    </w:p>
    <w:p>
      <w:pPr>
        <w:spacing w:after="80"/>
        <w:jc w:val="both"/>
      </w:pPr>
      <w:r>
        <w:rPr>
          <w:sz w:val="21"/>
        </w:rPr>
        <w:t>This SOP is reviewed before each season and updated when EU rules or the certifier's requirements change. The field diary (workbook X03) is the record of record; this procedure only tells us how to keep it.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666"/>
        <w:sz w:val="15"/>
      </w:rPr>
      <w:t>Finca Miles - SOP Organic Input Management - East Grove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8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