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6B2E"/>
          <w:sz w:val="26"/>
        </w:rPr>
        <w:t>Finca Miles</w:t>
      </w:r>
    </w:p>
    <w:p>
      <w:pPr>
        <w:spacing w:after="80"/>
      </w:pPr>
      <w:r>
        <w:rPr>
          <w:color w:val="7C7666"/>
          <w:sz w:val="17"/>
        </w:rPr>
        <w:t>Grant Application Narrative | Irrigation Phase 2 (FEADER)</w:t>
      </w:r>
    </w:p>
    <w:p>
      <w:pPr>
        <w:spacing w:after="120"/>
        <w:pBdr>
          <w:bottom w:val="single" w:sz="12" w:color="5B6B2E" w:space="1"/>
        </w:pBdr>
      </w:pPr>
    </w:p>
    <w:p>
      <w:pPr>
        <w:jc w:val="center"/>
      </w:pPr>
      <w:r>
        <w:rPr>
          <w:b/>
          <w:color w:val="2B2823"/>
          <w:sz w:val="34"/>
        </w:rPr>
        <w:t>Grant Application Narrative</w:t>
      </w:r>
    </w:p>
    <w:p>
      <w:pPr>
        <w:jc w:val="center"/>
      </w:pPr>
      <w:r>
        <w:rPr>
          <w:color w:val="B8862B"/>
          <w:sz w:val="21"/>
        </w:rPr>
        <w:t>Irrigation modernization Phase 2, FEADER-AND-2026-01188</w:t>
      </w:r>
    </w:p>
    <w:p>
      <w:pPr>
        <w:spacing w:before="180" w:after="40"/>
      </w:pPr>
      <w:r>
        <w:rPr>
          <w:b/>
          <w:color w:val="5B6B2E"/>
          <w:sz w:val="24"/>
        </w:rPr>
        <w:t>1. Applicant and holding</w:t>
      </w:r>
    </w:p>
    <w:tbl>
      <w:tblPr>
        <w:tblStyle w:val="TableGrid"/>
        <w:tblW w:type="auto" w:w="0"/>
        <w:jc w:val="center"/>
        <w:tblLook w:firstColumn="1" w:firstRow="1" w:lastColumn="0" w:lastRow="0" w:noHBand="0" w:noVBand="1" w:val="04A0"/>
      </w:tblPr>
      <w:tblGrid>
        <w:gridCol w:w="4680"/>
        <w:gridCol w:w="4680"/>
      </w:tblGrid>
      <w:tr>
        <w:tc>
          <w:tcPr>
            <w:tcW w:type="dxa" w:w="4680"/>
            <w:shd w:val="clear" w:fill="5B6B2E"/>
          </w:tcPr>
          <w:p>
            <w:r>
              <w:rPr>
                <w:b/>
                <w:color w:val="FFFFFF"/>
              </w:rPr>
            </w:r>
            <w:r>
              <w:rPr>
                <w:b/>
                <w:color w:val="FFFFFF"/>
                <w:sz w:val="17"/>
              </w:rPr>
              <w:t>Field</w:t>
            </w:r>
          </w:p>
        </w:tc>
        <w:tc>
          <w:tcPr>
            <w:tcW w:type="dxa" w:w="4680"/>
            <w:shd w:val="clear" w:fill="5B6B2E"/>
          </w:tcPr>
          <w:p>
            <w:r>
              <w:rPr>
                <w:b/>
                <w:color w:val="FFFFFF"/>
              </w:rPr>
            </w:r>
            <w:r>
              <w:rPr>
                <w:b/>
                <w:color w:val="FFFFFF"/>
                <w:sz w:val="17"/>
              </w:rPr>
              <w:t>Detail</w:t>
            </w:r>
          </w:p>
        </w:tc>
      </w:tr>
      <w:tr>
        <w:tc>
          <w:tcPr>
            <w:tcW w:type="dxa" w:w="4680"/>
          </w:tcPr>
          <w:p>
            <w:r/>
            <w:r>
              <w:rPr>
                <w:sz w:val="17"/>
              </w:rPr>
              <w:t>Applicant</w:t>
            </w:r>
          </w:p>
        </w:tc>
        <w:tc>
          <w:tcPr>
            <w:tcW w:type="dxa" w:w="4680"/>
          </w:tcPr>
          <w:p>
            <w:r/>
            <w:r>
              <w:rPr>
                <w:sz w:val="17"/>
              </w:rPr>
              <w:t>Min Miles Park (Finca Miles)</w:t>
            </w:r>
          </w:p>
        </w:tc>
      </w:tr>
      <w:tr>
        <w:tc>
          <w:tcPr>
            <w:tcW w:type="dxa" w:w="4680"/>
          </w:tcPr>
          <w:p>
            <w:r/>
            <w:r>
              <w:rPr>
                <w:sz w:val="17"/>
              </w:rPr>
              <w:t>Holding</w:t>
            </w:r>
          </w:p>
        </w:tc>
        <w:tc>
          <w:tcPr>
            <w:tcW w:type="dxa" w:w="4680"/>
          </w:tcPr>
          <w:p>
            <w:r/>
            <w:r>
              <w:rPr>
                <w:sz w:val="17"/>
              </w:rPr>
              <w:t>35 ha olive estate, Baena, Cordoba</w:t>
            </w:r>
          </w:p>
        </w:tc>
      </w:tr>
      <w:tr>
        <w:tc>
          <w:tcPr>
            <w:tcW w:type="dxa" w:w="4680"/>
          </w:tcPr>
          <w:p>
            <w:r/>
            <w:r>
              <w:rPr>
                <w:sz w:val="17"/>
              </w:rPr>
              <w:t>Parcel</w:t>
            </w:r>
          </w:p>
        </w:tc>
        <w:tc>
          <w:tcPr>
            <w:tcW w:type="dxa" w:w="4680"/>
          </w:tcPr>
          <w:p>
            <w:r/>
            <w:r>
              <w:rPr>
                <w:sz w:val="17"/>
              </w:rPr>
              <w:t>N-2 (Norte Bajo), 5.5 ha</w:t>
            </w:r>
          </w:p>
        </w:tc>
      </w:tr>
      <w:tr>
        <w:tc>
          <w:tcPr>
            <w:tcW w:type="dxa" w:w="4680"/>
          </w:tcPr>
          <w:p>
            <w:r/>
            <w:r>
              <w:rPr>
                <w:sz w:val="17"/>
              </w:rPr>
              <w:t>Measure</w:t>
            </w:r>
          </w:p>
        </w:tc>
        <w:tc>
          <w:tcPr>
            <w:tcW w:type="dxa" w:w="4680"/>
          </w:tcPr>
          <w:p>
            <w:r/>
            <w:r>
              <w:rPr>
                <w:sz w:val="17"/>
              </w:rPr>
              <w:t>M04.1 (on-farm investment)</w:t>
            </w:r>
          </w:p>
        </w:tc>
      </w:tr>
      <w:tr>
        <w:tc>
          <w:tcPr>
            <w:tcW w:type="dxa" w:w="4680"/>
          </w:tcPr>
          <w:p>
            <w:r/>
            <w:r>
              <w:rPr>
                <w:sz w:val="17"/>
              </w:rPr>
              <w:t>Reference</w:t>
            </w:r>
          </w:p>
        </w:tc>
        <w:tc>
          <w:tcPr>
            <w:tcW w:type="dxa" w:w="4680"/>
          </w:tcPr>
          <w:p>
            <w:r/>
            <w:r>
              <w:rPr>
                <w:sz w:val="17"/>
              </w:rPr>
              <w:t>FEADER-AND-2026-01188</w:t>
            </w:r>
          </w:p>
        </w:tc>
      </w:tr>
    </w:tbl>
    <w:p>
      <w:pPr>
        <w:spacing w:after="40"/>
      </w:pPr>
    </w:p>
    <w:p>
      <w:pPr>
        <w:spacing w:before="180" w:after="40"/>
      </w:pPr>
      <w:r>
        <w:rPr>
          <w:b/>
          <w:color w:val="5B6B2E"/>
          <w:sz w:val="24"/>
        </w:rPr>
        <w:t>2. Summary of request</w:t>
      </w:r>
    </w:p>
    <w:p>
      <w:pPr>
        <w:spacing w:after="80"/>
        <w:jc w:val="both"/>
      </w:pPr>
      <w:r>
        <w:rPr>
          <w:sz w:val="21"/>
        </w:rPr>
        <w:t>The estate requests rural-development (FEADER) co-financing toward the conversion of parcel N-2 from flood irrigation to precision drip. The project total is EUR 47,800; at a 40 percent co-financing rate the grant sought is EUR 19,120, with the balance of EUR 28,680 met by the estate.</w:t>
      </w:r>
    </w:p>
    <w:p>
      <w:pPr>
        <w:spacing w:before="180" w:after="40"/>
      </w:pPr>
      <w:r>
        <w:rPr>
          <w:b/>
          <w:color w:val="5B6B2E"/>
          <w:sz w:val="24"/>
        </w:rPr>
        <w:t>3. Need and justification</w:t>
      </w:r>
    </w:p>
    <w:p>
      <w:pPr>
        <w:spacing w:after="80"/>
        <w:jc w:val="both"/>
      </w:pPr>
      <w:r>
        <w:rPr>
          <w:sz w:val="21"/>
        </w:rPr>
        <w:t>The Subbetica faces hotter summers and less reliable rainfall. Flood irrigation is water-hungry and applies water unevenly across the parcel. Precision drip with soil-moisture telemetry applies water where and when the trees need it, cuts the volume used, and enables controlled deficit irrigation that can improve fruit quality. This is the estate's single most important climate-adaptation investment.</w:t>
      </w:r>
    </w:p>
    <w:p>
      <w:r>
        <w:br w:type="page"/>
      </w:r>
    </w:p>
    <w:p>
      <w:pPr>
        <w:spacing w:before="180" w:after="40"/>
      </w:pPr>
      <w:r>
        <w:rPr>
          <w:b/>
          <w:color w:val="5B6B2E"/>
          <w:sz w:val="24"/>
        </w:rPr>
        <w:t>4. Project description</w:t>
      </w:r>
    </w:p>
    <w:p>
      <w:pPr>
        <w:spacing w:after="80"/>
        <w:jc w:val="both"/>
      </w:pPr>
      <w:r>
        <w:rPr>
          <w:sz w:val="21"/>
        </w:rPr>
        <w:t>The works install pressure-compensating drip lines, submains and manifolds, a filtration and fertigation station, a pump and variable-speed-drive upgrade, six soil-moisture sensors with telemetry, and integration into the existing HydroSense controller, with commissioning and as-built documentation. Phase 1 (parcel N-1, 6 ha) was completed in November 2025 and has now run a full season as a working reference.</w:t>
      </w:r>
    </w:p>
    <w:p>
      <w:pPr>
        <w:spacing w:before="180" w:after="40"/>
      </w:pPr>
      <w:r>
        <w:rPr>
          <w:b/>
          <w:color w:val="5B6B2E"/>
          <w:sz w:val="24"/>
        </w:rPr>
        <w:t>5. Costs</w:t>
      </w:r>
    </w:p>
    <w:tbl>
      <w:tblPr>
        <w:tblStyle w:val="TableGrid"/>
        <w:tblW w:type="auto" w:w="0"/>
        <w:jc w:val="center"/>
        <w:tblLook w:firstColumn="1" w:firstRow="1" w:lastColumn="0" w:lastRow="0" w:noHBand="0" w:noVBand="1" w:val="04A0"/>
      </w:tblPr>
      <w:tblGrid>
        <w:gridCol w:w="4680"/>
        <w:gridCol w:w="4680"/>
      </w:tblGrid>
      <w:tr>
        <w:tc>
          <w:tcPr>
            <w:tcW w:type="dxa" w:w="4680"/>
            <w:shd w:val="clear" w:fill="5B6B2E"/>
          </w:tcPr>
          <w:p>
            <w:r>
              <w:rPr>
                <w:b/>
                <w:color w:val="FFFFFF"/>
              </w:rPr>
            </w:r>
            <w:r>
              <w:rPr>
                <w:b/>
                <w:color w:val="FFFFFF"/>
                <w:sz w:val="17"/>
              </w:rPr>
              <w:t>Item</w:t>
            </w:r>
          </w:p>
        </w:tc>
        <w:tc>
          <w:tcPr>
            <w:tcW w:type="dxa" w:w="4680"/>
            <w:shd w:val="clear" w:fill="5B6B2E"/>
          </w:tcPr>
          <w:p>
            <w:r>
              <w:rPr>
                <w:b/>
                <w:color w:val="FFFFFF"/>
              </w:rPr>
            </w:r>
            <w:r>
              <w:rPr>
                <w:b/>
                <w:color w:val="FFFFFF"/>
                <w:sz w:val="17"/>
              </w:rPr>
              <w:t>Line EUR</w:t>
            </w:r>
          </w:p>
        </w:tc>
      </w:tr>
      <w:tr>
        <w:tc>
          <w:tcPr>
            <w:tcW w:type="dxa" w:w="4680"/>
          </w:tcPr>
          <w:p>
            <w:r/>
            <w:r>
              <w:rPr>
                <w:sz w:val="17"/>
              </w:rPr>
              <w:t>Drip line + emitters</w:t>
            </w:r>
          </w:p>
        </w:tc>
        <w:tc>
          <w:tcPr>
            <w:tcW w:type="dxa" w:w="4680"/>
          </w:tcPr>
          <w:p>
            <w:r/>
            <w:r>
              <w:rPr>
                <w:sz w:val="17"/>
              </w:rPr>
              <w:t>11,890</w:t>
            </w:r>
          </w:p>
        </w:tc>
      </w:tr>
      <w:tr>
        <w:tc>
          <w:tcPr>
            <w:tcW w:type="dxa" w:w="4680"/>
          </w:tcPr>
          <w:p>
            <w:r/>
            <w:r>
              <w:rPr>
                <w:sz w:val="17"/>
              </w:rPr>
              <w:t>Submains and manifolds</w:t>
            </w:r>
          </w:p>
        </w:tc>
        <w:tc>
          <w:tcPr>
            <w:tcW w:type="dxa" w:w="4680"/>
          </w:tcPr>
          <w:p>
            <w:r/>
            <w:r>
              <w:rPr>
                <w:sz w:val="17"/>
              </w:rPr>
              <w:t>6,800</w:t>
            </w:r>
          </w:p>
        </w:tc>
      </w:tr>
      <w:tr>
        <w:tc>
          <w:tcPr>
            <w:tcW w:type="dxa" w:w="4680"/>
          </w:tcPr>
          <w:p>
            <w:r/>
            <w:r>
              <w:rPr>
                <w:sz w:val="17"/>
              </w:rPr>
              <w:t>Filtration + fertigation</w:t>
            </w:r>
          </w:p>
        </w:tc>
        <w:tc>
          <w:tcPr>
            <w:tcW w:type="dxa" w:w="4680"/>
          </w:tcPr>
          <w:p>
            <w:r/>
            <w:r>
              <w:rPr>
                <w:sz w:val="17"/>
              </w:rPr>
              <w:t>7,400</w:t>
            </w:r>
          </w:p>
        </w:tc>
      </w:tr>
      <w:tr>
        <w:tc>
          <w:tcPr>
            <w:tcW w:type="dxa" w:w="4680"/>
          </w:tcPr>
          <w:p>
            <w:r/>
            <w:r>
              <w:rPr>
                <w:sz w:val="17"/>
              </w:rPr>
              <w:t>Controller integration</w:t>
            </w:r>
          </w:p>
        </w:tc>
        <w:tc>
          <w:tcPr>
            <w:tcW w:type="dxa" w:w="4680"/>
          </w:tcPr>
          <w:p>
            <w:r/>
            <w:r>
              <w:rPr>
                <w:sz w:val="17"/>
              </w:rPr>
              <w:t>3,200</w:t>
            </w:r>
          </w:p>
        </w:tc>
      </w:tr>
      <w:tr>
        <w:tc>
          <w:tcPr>
            <w:tcW w:type="dxa" w:w="4680"/>
          </w:tcPr>
          <w:p>
            <w:r/>
            <w:r>
              <w:rPr>
                <w:sz w:val="17"/>
              </w:rPr>
              <w:t>Trenching + installation</w:t>
            </w:r>
          </w:p>
        </w:tc>
        <w:tc>
          <w:tcPr>
            <w:tcW w:type="dxa" w:w="4680"/>
          </w:tcPr>
          <w:p>
            <w:r/>
            <w:r>
              <w:rPr>
                <w:sz w:val="17"/>
              </w:rPr>
              <w:t>12,600</w:t>
            </w:r>
          </w:p>
        </w:tc>
      </w:tr>
      <w:tr>
        <w:tc>
          <w:tcPr>
            <w:tcW w:type="dxa" w:w="4680"/>
          </w:tcPr>
          <w:p>
            <w:r/>
            <w:r>
              <w:rPr>
                <w:sz w:val="17"/>
              </w:rPr>
              <w:t>Pump + VSD upgrade</w:t>
            </w:r>
          </w:p>
        </w:tc>
        <w:tc>
          <w:tcPr>
            <w:tcW w:type="dxa" w:w="4680"/>
          </w:tcPr>
          <w:p>
            <w:r/>
            <w:r>
              <w:rPr>
                <w:sz w:val="17"/>
              </w:rPr>
              <w:t>4,100</w:t>
            </w:r>
          </w:p>
        </w:tc>
      </w:tr>
      <w:tr>
        <w:tc>
          <w:tcPr>
            <w:tcW w:type="dxa" w:w="4680"/>
          </w:tcPr>
          <w:p>
            <w:r/>
            <w:r>
              <w:rPr>
                <w:sz w:val="17"/>
              </w:rPr>
              <w:t>Sensors + telemetry</w:t>
            </w:r>
          </w:p>
        </w:tc>
        <w:tc>
          <w:tcPr>
            <w:tcW w:type="dxa" w:w="4680"/>
          </w:tcPr>
          <w:p>
            <w:r/>
            <w:r>
              <w:rPr>
                <w:sz w:val="17"/>
              </w:rPr>
              <w:t>1,410</w:t>
            </w:r>
          </w:p>
        </w:tc>
      </w:tr>
      <w:tr>
        <w:tc>
          <w:tcPr>
            <w:tcW w:type="dxa" w:w="4680"/>
          </w:tcPr>
          <w:p>
            <w:r/>
            <w:r>
              <w:rPr>
                <w:sz w:val="17"/>
              </w:rPr>
              <w:t>Commissioning + as-built</w:t>
            </w:r>
          </w:p>
        </w:tc>
        <w:tc>
          <w:tcPr>
            <w:tcW w:type="dxa" w:w="4680"/>
          </w:tcPr>
          <w:p>
            <w:r/>
            <w:r>
              <w:rPr>
                <w:sz w:val="17"/>
              </w:rPr>
              <w:t>400</w:t>
            </w:r>
          </w:p>
        </w:tc>
      </w:tr>
      <w:tr>
        <w:tc>
          <w:tcPr>
            <w:tcW w:type="dxa" w:w="4680"/>
          </w:tcPr>
          <w:p>
            <w:r/>
            <w:r>
              <w:rPr>
                <w:sz w:val="17"/>
              </w:rPr>
              <w:t>TOTAL</w:t>
            </w:r>
          </w:p>
        </w:tc>
        <w:tc>
          <w:tcPr>
            <w:tcW w:type="dxa" w:w="4680"/>
          </w:tcPr>
          <w:p>
            <w:r/>
            <w:r>
              <w:rPr>
                <w:sz w:val="17"/>
              </w:rPr>
              <w:t>47,800</w:t>
            </w:r>
          </w:p>
        </w:tc>
      </w:tr>
    </w:tbl>
    <w:p>
      <w:pPr>
        <w:spacing w:after="40"/>
      </w:pPr>
    </w:p>
    <w:p>
      <w:pPr>
        <w:spacing w:before="180" w:after="40"/>
      </w:pPr>
      <w:r>
        <w:rPr>
          <w:b/>
          <w:color w:val="5B6B2E"/>
          <w:sz w:val="24"/>
        </w:rPr>
        <w:t>6. Financing</w:t>
      </w:r>
    </w:p>
    <w:tbl>
      <w:tblPr>
        <w:tblStyle w:val="TableGrid"/>
        <w:tblW w:type="auto" w:w="0"/>
        <w:jc w:val="center"/>
        <w:tblLook w:firstColumn="1" w:firstRow="1" w:lastColumn="0" w:lastRow="0" w:noHBand="0" w:noVBand="1" w:val="04A0"/>
      </w:tblPr>
      <w:tblGrid>
        <w:gridCol w:w="4680"/>
        <w:gridCol w:w="4680"/>
      </w:tblGrid>
      <w:tr>
        <w:tc>
          <w:tcPr>
            <w:tcW w:type="dxa" w:w="4680"/>
            <w:shd w:val="clear" w:fill="5B6B2E"/>
          </w:tcPr>
          <w:p>
            <w:r>
              <w:rPr>
                <w:b/>
                <w:color w:val="FFFFFF"/>
              </w:rPr>
            </w:r>
            <w:r>
              <w:rPr>
                <w:b/>
                <w:color w:val="FFFFFF"/>
                <w:sz w:val="17"/>
              </w:rPr>
              <w:t>Source</w:t>
            </w:r>
          </w:p>
        </w:tc>
        <w:tc>
          <w:tcPr>
            <w:tcW w:type="dxa" w:w="4680"/>
            <w:shd w:val="clear" w:fill="5B6B2E"/>
          </w:tcPr>
          <w:p>
            <w:r>
              <w:rPr>
                <w:b/>
                <w:color w:val="FFFFFF"/>
              </w:rPr>
            </w:r>
            <w:r>
              <w:rPr>
                <w:b/>
                <w:color w:val="FFFFFF"/>
                <w:sz w:val="17"/>
              </w:rPr>
              <w:t>EUR</w:t>
            </w:r>
          </w:p>
        </w:tc>
      </w:tr>
      <w:tr>
        <w:tc>
          <w:tcPr>
            <w:tcW w:type="dxa" w:w="4680"/>
          </w:tcPr>
          <w:p>
            <w:r/>
            <w:r>
              <w:rPr>
                <w:sz w:val="17"/>
              </w:rPr>
              <w:t>FEADER grant (40%)</w:t>
            </w:r>
          </w:p>
        </w:tc>
        <w:tc>
          <w:tcPr>
            <w:tcW w:type="dxa" w:w="4680"/>
          </w:tcPr>
          <w:p>
            <w:r/>
            <w:r>
              <w:rPr>
                <w:sz w:val="17"/>
              </w:rPr>
              <w:t>19,120</w:t>
            </w:r>
          </w:p>
        </w:tc>
      </w:tr>
      <w:tr>
        <w:tc>
          <w:tcPr>
            <w:tcW w:type="dxa" w:w="4680"/>
          </w:tcPr>
          <w:p>
            <w:r/>
            <w:r>
              <w:rPr>
                <w:sz w:val="17"/>
              </w:rPr>
              <w:t>Estate own funds</w:t>
            </w:r>
          </w:p>
        </w:tc>
        <w:tc>
          <w:tcPr>
            <w:tcW w:type="dxa" w:w="4680"/>
          </w:tcPr>
          <w:p>
            <w:r/>
            <w:r>
              <w:rPr>
                <w:sz w:val="17"/>
              </w:rPr>
              <w:t>28,680</w:t>
            </w:r>
          </w:p>
        </w:tc>
      </w:tr>
      <w:tr>
        <w:tc>
          <w:tcPr>
            <w:tcW w:type="dxa" w:w="4680"/>
          </w:tcPr>
          <w:p>
            <w:r/>
            <w:r>
              <w:rPr>
                <w:sz w:val="17"/>
              </w:rPr>
              <w:t>Project total</w:t>
            </w:r>
          </w:p>
        </w:tc>
        <w:tc>
          <w:tcPr>
            <w:tcW w:type="dxa" w:w="4680"/>
          </w:tcPr>
          <w:p>
            <w:r/>
            <w:r>
              <w:rPr>
                <w:sz w:val="17"/>
              </w:rPr>
              <w:t>47,800</w:t>
            </w:r>
          </w:p>
        </w:tc>
      </w:tr>
    </w:tbl>
    <w:p>
      <w:pPr>
        <w:spacing w:after="40"/>
      </w:pPr>
    </w:p>
    <w:p>
      <w:r>
        <w:br w:type="page"/>
      </w:r>
    </w:p>
    <w:p>
      <w:pPr>
        <w:spacing w:before="180" w:after="40"/>
      </w:pPr>
      <w:r>
        <w:rPr>
          <w:b/>
          <w:color w:val="5B6B2E"/>
          <w:sz w:val="24"/>
        </w:rPr>
        <w:t>7. Timetable</w:t>
      </w:r>
    </w:p>
    <w:tbl>
      <w:tblPr>
        <w:tblStyle w:val="TableGrid"/>
        <w:tblW w:type="auto" w:w="0"/>
        <w:jc w:val="center"/>
        <w:tblLook w:firstColumn="1" w:firstRow="1" w:lastColumn="0" w:lastRow="0" w:noHBand="0" w:noVBand="1" w:val="04A0"/>
      </w:tblPr>
      <w:tblGrid>
        <w:gridCol w:w="4680"/>
        <w:gridCol w:w="4680"/>
      </w:tblGrid>
      <w:tr>
        <w:tc>
          <w:tcPr>
            <w:tcW w:type="dxa" w:w="4680"/>
            <w:shd w:val="clear" w:fill="5B6B2E"/>
          </w:tcPr>
          <w:p>
            <w:r>
              <w:rPr>
                <w:b/>
                <w:color w:val="FFFFFF"/>
              </w:rPr>
            </w:r>
            <w:r>
              <w:rPr>
                <w:b/>
                <w:color w:val="FFFFFF"/>
                <w:sz w:val="17"/>
              </w:rPr>
              <w:t>Milestone</w:t>
            </w:r>
          </w:p>
        </w:tc>
        <w:tc>
          <w:tcPr>
            <w:tcW w:type="dxa" w:w="4680"/>
            <w:shd w:val="clear" w:fill="5B6B2E"/>
          </w:tcPr>
          <w:p>
            <w:r>
              <w:rPr>
                <w:b/>
                <w:color w:val="FFFFFF"/>
              </w:rPr>
            </w:r>
            <w:r>
              <w:rPr>
                <w:b/>
                <w:color w:val="FFFFFF"/>
                <w:sz w:val="17"/>
              </w:rPr>
              <w:t>Date</w:t>
            </w:r>
          </w:p>
        </w:tc>
      </w:tr>
      <w:tr>
        <w:tc>
          <w:tcPr>
            <w:tcW w:type="dxa" w:w="4680"/>
          </w:tcPr>
          <w:p>
            <w:r/>
            <w:r>
              <w:rPr>
                <w:sz w:val="17"/>
              </w:rPr>
              <w:t>Contractor confirmed</w:t>
            </w:r>
          </w:p>
        </w:tc>
        <w:tc>
          <w:tcPr>
            <w:tcW w:type="dxa" w:w="4680"/>
          </w:tcPr>
          <w:p>
            <w:r/>
            <w:r>
              <w:rPr>
                <w:sz w:val="17"/>
              </w:rPr>
              <w:t>Jan 2026</w:t>
            </w:r>
          </w:p>
        </w:tc>
      </w:tr>
      <w:tr>
        <w:tc>
          <w:tcPr>
            <w:tcW w:type="dxa" w:w="4680"/>
          </w:tcPr>
          <w:p>
            <w:r/>
            <w:r>
              <w:rPr>
                <w:sz w:val="17"/>
              </w:rPr>
              <w:t>Installation start</w:t>
            </w:r>
          </w:p>
        </w:tc>
        <w:tc>
          <w:tcPr>
            <w:tcW w:type="dxa" w:w="4680"/>
          </w:tcPr>
          <w:p>
            <w:r/>
            <w:r>
              <w:rPr>
                <w:sz w:val="17"/>
              </w:rPr>
              <w:t>2026-10-05</w:t>
            </w:r>
          </w:p>
        </w:tc>
      </w:tr>
      <w:tr>
        <w:tc>
          <w:tcPr>
            <w:tcW w:type="dxa" w:w="4680"/>
          </w:tcPr>
          <w:p>
            <w:r/>
            <w:r>
              <w:rPr>
                <w:sz w:val="17"/>
              </w:rPr>
              <w:t>Commissioning</w:t>
            </w:r>
          </w:p>
        </w:tc>
        <w:tc>
          <w:tcPr>
            <w:tcW w:type="dxa" w:w="4680"/>
          </w:tcPr>
          <w:p>
            <w:r/>
            <w:r>
              <w:rPr>
                <w:sz w:val="17"/>
              </w:rPr>
              <w:t>Oct to Nov 2026</w:t>
            </w:r>
          </w:p>
        </w:tc>
      </w:tr>
      <w:tr>
        <w:tc>
          <w:tcPr>
            <w:tcW w:type="dxa" w:w="4680"/>
          </w:tcPr>
          <w:p>
            <w:r/>
            <w:r>
              <w:rPr>
                <w:sz w:val="17"/>
              </w:rPr>
              <w:t>First full drip season</w:t>
            </w:r>
          </w:p>
        </w:tc>
        <w:tc>
          <w:tcPr>
            <w:tcW w:type="dxa" w:w="4680"/>
          </w:tcPr>
          <w:p>
            <w:r/>
            <w:r>
              <w:rPr>
                <w:sz w:val="17"/>
              </w:rPr>
              <w:t>2027</w:t>
            </w:r>
          </w:p>
        </w:tc>
      </w:tr>
    </w:tbl>
    <w:p>
      <w:pPr>
        <w:spacing w:after="40"/>
      </w:pPr>
    </w:p>
    <w:p>
      <w:pPr>
        <w:spacing w:before="180" w:after="40"/>
      </w:pPr>
      <w:r>
        <w:rPr>
          <w:b/>
          <w:color w:val="5B6B2E"/>
          <w:sz w:val="24"/>
        </w:rPr>
        <w:t>8. Expected outcomes</w:t>
      </w:r>
    </w:p>
    <w:p>
      <w:pPr>
        <w:pStyle w:val="ListBullet"/>
        <w:spacing w:after="20"/>
      </w:pPr>
      <w:r>
        <w:rPr>
          <w:sz w:val="21"/>
        </w:rPr>
        <w:t>Lower applied-water volume per hectare than flood irrigation.</w:t>
      </w:r>
    </w:p>
    <w:p>
      <w:pPr>
        <w:pStyle w:val="ListBullet"/>
        <w:spacing w:after="20"/>
      </w:pPr>
      <w:r>
        <w:rPr>
          <w:sz w:val="21"/>
        </w:rPr>
        <w:t>More uniform tree water status and improved fruit quality.</w:t>
      </w:r>
    </w:p>
    <w:p>
      <w:pPr>
        <w:pStyle w:val="ListBullet"/>
        <w:spacing w:after="20"/>
      </w:pPr>
      <w:r>
        <w:rPr>
          <w:sz w:val="21"/>
        </w:rPr>
        <w:t>Completion of north-grove drip conversion (N-1 plus N-2).</w:t>
      </w:r>
    </w:p>
    <w:p>
      <w:pPr>
        <w:pStyle w:val="ListBullet"/>
        <w:spacing w:after="20"/>
      </w:pPr>
      <w:r>
        <w:rPr>
          <w:sz w:val="21"/>
        </w:rPr>
        <w:t>Data-driven scheduling through soil-moisture telemetry.</w:t>
      </w:r>
    </w:p>
    <w:p>
      <w:pPr>
        <w:spacing w:before="180" w:after="40"/>
      </w:pPr>
      <w:r>
        <w:rPr>
          <w:b/>
          <w:color w:val="5B6B2E"/>
          <w:sz w:val="24"/>
        </w:rPr>
        <w:t>9. Procurement and value for money</w:t>
      </w:r>
    </w:p>
    <w:p>
      <w:pPr>
        <w:spacing w:after="80"/>
        <w:jc w:val="both"/>
      </w:pPr>
      <w:r>
        <w:rPr>
          <w:sz w:val="21"/>
        </w:rPr>
        <w:t>The contractor (Riegos del Sur) was selected after comparing two quotes on price, specification and compatibility with the existing controller, and on local reputation. Costing detail is held in workbook X06 and the technical plan in PDF P05. Any commitment at or above the approval threshold proceeds only on the owner's explicit confirmation.</w:t>
      </w:r>
    </w:p>
    <w:p>
      <w:pPr>
        <w:spacing w:before="180" w:after="40"/>
      </w:pPr>
      <w:r>
        <w:rPr>
          <w:b/>
          <w:color w:val="5B6B2E"/>
          <w:sz w:val="24"/>
        </w:rPr>
        <w:t>10. Declaration</w:t>
      </w:r>
    </w:p>
    <w:p>
      <w:pPr>
        <w:spacing w:after="80"/>
        <w:jc w:val="both"/>
      </w:pPr>
      <w:r>
        <w:rPr>
          <w:sz w:val="21"/>
        </w:rPr>
        <w:t>The applicant confirms the information is accurate and that the works will be carried out as described, with records kept for inspection. Regulatory submissions are made only on the owner's authority.</w:t>
      </w:r>
    </w:p>
    <w:p>
      <w:r>
        <w:br w:type="page"/>
      </w:r>
    </w:p>
    <w:p>
      <w:pPr>
        <w:spacing w:before="180" w:after="40"/>
      </w:pPr>
      <w:r>
        <w:rPr>
          <w:b/>
          <w:color w:val="5B6B2E"/>
          <w:sz w:val="24"/>
        </w:rPr>
        <w:t>11. Environmental benefit</w:t>
      </w:r>
    </w:p>
    <w:p>
      <w:pPr>
        <w:pStyle w:val="ListBullet"/>
        <w:spacing w:after="20"/>
      </w:pPr>
      <w:r>
        <w:rPr>
          <w:sz w:val="21"/>
        </w:rPr>
        <w:t>Reduced freshwater abstraction per hectare under drip versus flood.</w:t>
      </w:r>
    </w:p>
    <w:p>
      <w:pPr>
        <w:pStyle w:val="ListBullet"/>
        <w:spacing w:after="20"/>
      </w:pPr>
      <w:r>
        <w:rPr>
          <w:sz w:val="21"/>
        </w:rPr>
        <w:t>Better water-use efficiency supports climate resilience in a drought-prone region.</w:t>
      </w:r>
    </w:p>
    <w:p>
      <w:pPr>
        <w:pStyle w:val="ListBullet"/>
        <w:spacing w:after="20"/>
      </w:pPr>
      <w:r>
        <w:rPr>
          <w:sz w:val="21"/>
        </w:rPr>
        <w:t>Fits the estate's wider stewardship: cover cropping, compost, organic conversion.</w:t>
      </w:r>
    </w:p>
    <w:p>
      <w:pPr>
        <w:pStyle w:val="ListBullet"/>
        <w:spacing w:after="20"/>
      </w:pPr>
      <w:r>
        <w:rPr>
          <w:sz w:val="21"/>
        </w:rPr>
        <w:t>Telemetry enables evidence-based scheduling rather than fixed calendars.</w:t>
      </w:r>
    </w:p>
    <w:p>
      <w:pPr>
        <w:spacing w:before="180" w:after="40"/>
      </w:pPr>
      <w:r>
        <w:rPr>
          <w:b/>
          <w:color w:val="5B6B2E"/>
          <w:sz w:val="24"/>
        </w:rPr>
        <w:t>12. Reference, Phase 1 (already delivered)</w:t>
      </w:r>
    </w:p>
    <w:tbl>
      <w:tblPr>
        <w:tblStyle w:val="TableGrid"/>
        <w:tblW w:type="auto" w:w="0"/>
        <w:jc w:val="center"/>
        <w:tblLook w:firstColumn="1" w:firstRow="1" w:lastColumn="0" w:lastRow="0" w:noHBand="0" w:noVBand="1" w:val="04A0"/>
      </w:tblPr>
      <w:tblGrid>
        <w:gridCol w:w="4680"/>
        <w:gridCol w:w="4680"/>
      </w:tblGrid>
      <w:tr>
        <w:tc>
          <w:tcPr>
            <w:tcW w:type="dxa" w:w="4680"/>
            <w:shd w:val="clear" w:fill="5B6B2E"/>
          </w:tcPr>
          <w:p>
            <w:r>
              <w:rPr>
                <w:b/>
                <w:color w:val="FFFFFF"/>
              </w:rPr>
            </w:r>
            <w:r>
              <w:rPr>
                <w:b/>
                <w:color w:val="FFFFFF"/>
                <w:sz w:val="17"/>
              </w:rPr>
              <w:t>Measure</w:t>
            </w:r>
          </w:p>
        </w:tc>
        <w:tc>
          <w:tcPr>
            <w:tcW w:type="dxa" w:w="4680"/>
            <w:shd w:val="clear" w:fill="5B6B2E"/>
          </w:tcPr>
          <w:p>
            <w:r>
              <w:rPr>
                <w:b/>
                <w:color w:val="FFFFFF"/>
              </w:rPr>
            </w:r>
            <w:r>
              <w:rPr>
                <w:b/>
                <w:color w:val="FFFFFF"/>
                <w:sz w:val="17"/>
              </w:rPr>
              <w:t>Phase 1 (N-1)</w:t>
            </w:r>
          </w:p>
        </w:tc>
      </w:tr>
      <w:tr>
        <w:tc>
          <w:tcPr>
            <w:tcW w:type="dxa" w:w="4680"/>
          </w:tcPr>
          <w:p>
            <w:r/>
            <w:r>
              <w:rPr>
                <w:sz w:val="17"/>
              </w:rPr>
              <w:t>Area</w:t>
            </w:r>
          </w:p>
        </w:tc>
        <w:tc>
          <w:tcPr>
            <w:tcW w:type="dxa" w:w="4680"/>
          </w:tcPr>
          <w:p>
            <w:r/>
            <w:r>
              <w:rPr>
                <w:sz w:val="17"/>
              </w:rPr>
              <w:t>6 ha</w:t>
            </w:r>
          </w:p>
        </w:tc>
      </w:tr>
      <w:tr>
        <w:tc>
          <w:tcPr>
            <w:tcW w:type="dxa" w:w="4680"/>
          </w:tcPr>
          <w:p>
            <w:r/>
            <w:r>
              <w:rPr>
                <w:sz w:val="17"/>
              </w:rPr>
              <w:t>Installed</w:t>
            </w:r>
          </w:p>
        </w:tc>
        <w:tc>
          <w:tcPr>
            <w:tcW w:type="dxa" w:w="4680"/>
          </w:tcPr>
          <w:p>
            <w:r/>
            <w:r>
              <w:rPr>
                <w:sz w:val="17"/>
              </w:rPr>
              <w:t>November 2025</w:t>
            </w:r>
          </w:p>
        </w:tc>
      </w:tr>
      <w:tr>
        <w:tc>
          <w:tcPr>
            <w:tcW w:type="dxa" w:w="4680"/>
          </w:tcPr>
          <w:p>
            <w:r/>
            <w:r>
              <w:rPr>
                <w:sz w:val="17"/>
              </w:rPr>
              <w:t>Controller</w:t>
            </w:r>
          </w:p>
        </w:tc>
        <w:tc>
          <w:tcPr>
            <w:tcW w:type="dxa" w:w="4680"/>
          </w:tcPr>
          <w:p>
            <w:r/>
            <w:r>
              <w:rPr>
                <w:sz w:val="17"/>
              </w:rPr>
              <w:t>HydroSense</w:t>
            </w:r>
          </w:p>
        </w:tc>
      </w:tr>
      <w:tr>
        <w:tc>
          <w:tcPr>
            <w:tcW w:type="dxa" w:w="4680"/>
          </w:tcPr>
          <w:p>
            <w:r/>
            <w:r>
              <w:rPr>
                <w:sz w:val="17"/>
              </w:rPr>
              <w:t>Status</w:t>
            </w:r>
          </w:p>
        </w:tc>
        <w:tc>
          <w:tcPr>
            <w:tcW w:type="dxa" w:w="4680"/>
          </w:tcPr>
          <w:p>
            <w:r/>
            <w:r>
              <w:rPr>
                <w:sz w:val="17"/>
              </w:rPr>
              <w:t>first full season complete</w:t>
            </w:r>
          </w:p>
        </w:tc>
      </w:tr>
    </w:tbl>
    <w:p>
      <w:pPr>
        <w:spacing w:after="40"/>
      </w:pPr>
    </w:p>
    <w:p>
      <w:pPr>
        <w:spacing w:before="180" w:after="40"/>
      </w:pPr>
      <w:r>
        <w:rPr>
          <w:b/>
          <w:color w:val="5B6B2E"/>
          <w:sz w:val="24"/>
        </w:rPr>
        <w:t>13. Supporting documents</w:t>
      </w:r>
    </w:p>
    <w:p>
      <w:pPr>
        <w:pStyle w:val="ListBullet"/>
        <w:spacing w:after="20"/>
      </w:pPr>
      <w:r>
        <w:rPr>
          <w:sz w:val="21"/>
        </w:rPr>
        <w:t>Priced bill of quantities (workbook X06).</w:t>
      </w:r>
    </w:p>
    <w:p>
      <w:pPr>
        <w:pStyle w:val="ListBullet"/>
        <w:spacing w:after="20"/>
      </w:pPr>
      <w:r>
        <w:rPr>
          <w:sz w:val="21"/>
        </w:rPr>
        <w:t>Technical plan and schedule (PDF P05).</w:t>
      </w:r>
    </w:p>
    <w:p>
      <w:pPr>
        <w:pStyle w:val="ListBullet"/>
        <w:spacing w:after="20"/>
      </w:pPr>
      <w:r>
        <w:rPr>
          <w:sz w:val="21"/>
        </w:rPr>
        <w:t>Contractor quote (Riegos del Sur, ref RDS-2026-339).</w:t>
      </w:r>
    </w:p>
    <w:p>
      <w:pPr>
        <w:pStyle w:val="ListBullet"/>
        <w:spacing w:after="20"/>
      </w:pPr>
      <w:r>
        <w:rPr>
          <w:sz w:val="21"/>
        </w:rPr>
        <w:t>Estate parcel register and irrigation status (workbook X09).</w:t>
      </w:r>
    </w:p>
    <w:p>
      <w:pPr>
        <w:spacing w:before="180" w:after="40"/>
      </w:pPr>
      <w:r>
        <w:rPr>
          <w:b/>
          <w:color w:val="5B6B2E"/>
          <w:sz w:val="24"/>
        </w:rPr>
        <w:t>14. Contact</w:t>
      </w:r>
    </w:p>
    <w:p>
      <w:pPr>
        <w:spacing w:after="80"/>
        <w:jc w:val="both"/>
      </w:pPr>
      <w:r>
        <w:rPr>
          <w:sz w:val="21"/>
        </w:rPr>
        <w:t>All correspondence on this application is handled by the estate office on behalf of the applicant, Min Miles Park. The applicant is available for a site visit by the granting authority at any reasonable time.</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C7666"/>
        <w:sz w:val="15"/>
      </w:rPr>
      <w:t>Finca Miles - Grant Application Narrative - Irrigation Phase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8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