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B2E"/>
          <w:sz w:val="26"/>
        </w:rPr>
        <w:t>Finca Miles</w:t>
      </w:r>
    </w:p>
    <w:p>
      <w:pPr>
        <w:spacing w:after="80"/>
      </w:pPr>
      <w:r>
        <w:rPr>
          <w:color w:val="7C7666"/>
          <w:sz w:val="17"/>
        </w:rPr>
        <w:t>Agritourism Expansion Plan | Tasting Room (old stable)</w:t>
      </w:r>
    </w:p>
    <w:p>
      <w:pPr>
        <w:spacing w:after="120"/>
        <w:pBdr>
          <w:bottom w:val="single" w:sz="12" w:color="5B6B2E" w:space="1"/>
        </w:pBdr>
      </w:pPr>
    </w:p>
    <w:p>
      <w:pPr>
        <w:jc w:val="center"/>
      </w:pPr>
      <w:r>
        <w:rPr>
          <w:b/>
          <w:color w:val="2B2823"/>
          <w:sz w:val="34"/>
        </w:rPr>
        <w:t>Agritourism Expansion Plan</w:t>
      </w:r>
    </w:p>
    <w:p>
      <w:pPr>
        <w:jc w:val="center"/>
      </w:pPr>
      <w:r>
        <w:rPr>
          <w:color w:val="B8862B"/>
          <w:sz w:val="21"/>
        </w:rPr>
        <w:t>Tasting-room expansion in the old stable building</w:t>
      </w:r>
    </w:p>
    <w:p>
      <w:pPr>
        <w:spacing w:before="180" w:after="40"/>
      </w:pPr>
      <w:r>
        <w:rPr>
          <w:b/>
          <w:color w:val="5B6B2E"/>
          <w:sz w:val="24"/>
        </w:rPr>
        <w:t>1. The idea</w:t>
      </w:r>
    </w:p>
    <w:p>
      <w:pPr>
        <w:spacing w:after="80"/>
        <w:jc w:val="both"/>
      </w:pPr>
      <w:r>
        <w:rPr>
          <w:sz w:val="21"/>
        </w:rPr>
        <w:t>The direct-sales and agritourism side of the estate, run by Soo-Jin, has grown to the point where the current tasting space is too small at peak. This plan proposes expanding the tasting room into the old stable building, creating a year-round space for tastings, grove experiences and small events, and lifting direct-to-consumer revenue at premium margins.</w:t>
      </w:r>
    </w:p>
    <w:p>
      <w:pPr>
        <w:spacing w:before="180" w:after="40"/>
      </w:pPr>
      <w:r>
        <w:rPr>
          <w:b/>
          <w:color w:val="5B6B2E"/>
          <w:sz w:val="24"/>
        </w:rPr>
        <w:t>2. Why now</w:t>
      </w:r>
    </w:p>
    <w:p>
      <w:pPr>
        <w:pStyle w:val="ListBullet"/>
        <w:spacing w:after="20"/>
      </w:pPr>
      <w:r>
        <w:rPr>
          <w:sz w:val="21"/>
        </w:rPr>
        <w:t>Direct sales carry the best margin (around EUR 14.50 per 750 ml versus pool prices).</w:t>
      </w:r>
    </w:p>
    <w:p>
      <w:pPr>
        <w:pStyle w:val="ListBullet"/>
        <w:spacing w:after="20"/>
      </w:pPr>
      <w:r>
        <w:rPr>
          <w:sz w:val="21"/>
        </w:rPr>
        <w:t>Harvest and press-house tours already draw bookings that exceed the current space.</w:t>
      </w:r>
    </w:p>
    <w:p>
      <w:pPr>
        <w:pStyle w:val="ListBullet"/>
        <w:spacing w:after="20"/>
      </w:pPr>
      <w:r>
        <w:rPr>
          <w:sz w:val="21"/>
        </w:rPr>
        <w:t>The estate story, single-estate, organic-converting, Korean-Spanish, is a genuine draw.</w:t>
      </w:r>
    </w:p>
    <w:p>
      <w:pPr>
        <w:pStyle w:val="ListBullet"/>
        <w:spacing w:after="20"/>
      </w:pPr>
      <w:r>
        <w:rPr>
          <w:sz w:val="21"/>
        </w:rPr>
        <w:t>A better space supports the markets and the Jaen fair without adding many travel days.</w:t>
      </w:r>
    </w:p>
    <w:p>
      <w:pPr>
        <w:spacing w:before="180" w:after="40"/>
      </w:pPr>
      <w:r>
        <w:rPr>
          <w:b/>
          <w:color w:val="5B6B2E"/>
          <w:sz w:val="24"/>
        </w:rPr>
        <w:t>3. Current programme (reference)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5B6B2E"/>
          </w:tcPr>
          <w:p>
            <w:r>
              <w:rPr>
                <w:b/>
                <w:color w:val="FFFFFF"/>
              </w:rPr>
            </w:r>
            <w:r>
              <w:rPr>
                <w:b/>
                <w:color w:val="FFFFFF"/>
                <w:sz w:val="17"/>
              </w:rPr>
              <w:t>Experience</w:t>
            </w:r>
          </w:p>
        </w:tc>
        <w:tc>
          <w:tcPr>
            <w:tcW w:type="dxa" w:w="3120"/>
            <w:shd w:val="clear" w:fill="5B6B2E"/>
          </w:tcPr>
          <w:p>
            <w:r>
              <w:rPr>
                <w:b/>
                <w:color w:val="FFFFFF"/>
              </w:rPr>
            </w:r>
            <w:r>
              <w:rPr>
                <w:b/>
                <w:color w:val="FFFFFF"/>
                <w:sz w:val="17"/>
              </w:rPr>
              <w:t>Typical group</w:t>
            </w:r>
          </w:p>
        </w:tc>
        <w:tc>
          <w:tcPr>
            <w:tcW w:type="dxa" w:w="3120"/>
            <w:shd w:val="clear" w:fill="5B6B2E"/>
          </w:tcPr>
          <w:p>
            <w:r>
              <w:rPr>
                <w:b/>
                <w:color w:val="FFFFFF"/>
              </w:rPr>
            </w:r>
            <w:r>
              <w:rPr>
                <w:b/>
                <w:color w:val="FFFFFF"/>
                <w:sz w:val="17"/>
              </w:rPr>
              <w:t>EUR</w:t>
            </w:r>
          </w:p>
        </w:tc>
      </w:tr>
      <w:tr>
        <w:tc>
          <w:tcPr>
            <w:tcW w:type="dxa" w:w="3120"/>
          </w:tcPr>
          <w:p>
            <w:r/>
            <w:r>
              <w:rPr>
                <w:sz w:val="17"/>
              </w:rPr>
              <w:t>Tasting + grove walk</w:t>
            </w:r>
          </w:p>
        </w:tc>
        <w:tc>
          <w:tcPr>
            <w:tcW w:type="dxa" w:w="3120"/>
          </w:tcPr>
          <w:p>
            <w:r/>
            <w:r>
              <w:rPr>
                <w:sz w:val="17"/>
              </w:rPr>
              <w:t>6-8</w:t>
            </w:r>
          </w:p>
        </w:tc>
        <w:tc>
          <w:tcPr>
            <w:tcW w:type="dxa" w:w="3120"/>
          </w:tcPr>
          <w:p>
            <w:r/>
            <w:r>
              <w:rPr>
                <w:sz w:val="17"/>
              </w:rPr>
              <w:t>90</w:t>
            </w:r>
          </w:p>
        </w:tc>
      </w:tr>
      <w:tr>
        <w:tc>
          <w:tcPr>
            <w:tcW w:type="dxa" w:w="3120"/>
          </w:tcPr>
          <w:p>
            <w:r/>
            <w:r>
              <w:rPr>
                <w:sz w:val="17"/>
              </w:rPr>
              <w:t>Harvest experience</w:t>
            </w:r>
          </w:p>
        </w:tc>
        <w:tc>
          <w:tcPr>
            <w:tcW w:type="dxa" w:w="3120"/>
          </w:tcPr>
          <w:p>
            <w:r/>
            <w:r>
              <w:rPr>
                <w:sz w:val="17"/>
              </w:rPr>
              <w:t>8-10</w:t>
            </w:r>
          </w:p>
        </w:tc>
        <w:tc>
          <w:tcPr>
            <w:tcW w:type="dxa" w:w="3120"/>
          </w:tcPr>
          <w:p>
            <w:r/>
            <w:r>
              <w:rPr>
                <w:sz w:val="17"/>
              </w:rPr>
              <w:t>160</w:t>
            </w:r>
          </w:p>
        </w:tc>
      </w:tr>
      <w:tr>
        <w:tc>
          <w:tcPr>
            <w:tcW w:type="dxa" w:w="3120"/>
          </w:tcPr>
          <w:p>
            <w:r/>
            <w:r>
              <w:rPr>
                <w:sz w:val="17"/>
              </w:rPr>
              <w:t>Press-house tour (peak)</w:t>
            </w:r>
          </w:p>
        </w:tc>
        <w:tc>
          <w:tcPr>
            <w:tcW w:type="dxa" w:w="3120"/>
          </w:tcPr>
          <w:p>
            <w:r/>
            <w:r>
              <w:rPr>
                <w:sz w:val="17"/>
              </w:rPr>
              <w:t>10</w:t>
            </w:r>
          </w:p>
        </w:tc>
        <w:tc>
          <w:tcPr>
            <w:tcW w:type="dxa" w:w="3120"/>
          </w:tcPr>
          <w:p>
            <w:r/>
            <w:r>
              <w:rPr>
                <w:sz w:val="17"/>
              </w:rPr>
              <w:t>250</w:t>
            </w:r>
          </w:p>
        </w:tc>
      </w:tr>
      <w:tr>
        <w:tc>
          <w:tcPr>
            <w:tcW w:type="dxa" w:w="3120"/>
          </w:tcPr>
          <w:p>
            <w:r/>
            <w:r>
              <w:rPr>
                <w:sz w:val="17"/>
              </w:rPr>
              <w:t>Tasting + lunch</w:t>
            </w:r>
          </w:p>
        </w:tc>
        <w:tc>
          <w:tcPr>
            <w:tcW w:type="dxa" w:w="3120"/>
          </w:tcPr>
          <w:p>
            <w:r/>
            <w:r>
              <w:rPr>
                <w:sz w:val="17"/>
              </w:rPr>
              <w:t>12</w:t>
            </w:r>
          </w:p>
        </w:tc>
        <w:tc>
          <w:tcPr>
            <w:tcW w:type="dxa" w:w="3120"/>
          </w:tcPr>
          <w:p>
            <w:r/>
            <w:r>
              <w:rPr>
                <w:sz w:val="17"/>
              </w:rPr>
              <w:t>420</w:t>
            </w:r>
          </w:p>
        </w:tc>
      </w:tr>
    </w:tbl>
    <w:p>
      <w:pPr>
        <w:spacing w:after="40"/>
      </w:pPr>
    </w:p>
    <w:p>
      <w:r>
        <w:br w:type="page"/>
      </w:r>
    </w:p>
    <w:p>
      <w:pPr>
        <w:spacing w:before="180" w:after="40"/>
      </w:pPr>
      <w:r>
        <w:rPr>
          <w:b/>
          <w:color w:val="5B6B2E"/>
          <w:sz w:val="24"/>
        </w:rPr>
        <w:t>4. The space</w:t>
      </w:r>
    </w:p>
    <w:p>
      <w:pPr>
        <w:spacing w:after="80"/>
        <w:jc w:val="both"/>
      </w:pPr>
      <w:r>
        <w:rPr>
          <w:sz w:val="21"/>
        </w:rPr>
        <w:t>The old stable building sits beside the courtyard, with thick whitewashed walls and good shade, cool in summer and characterful. The plan keeps the stonework and beams, adds a tasting counter and seating for up to twenty, a small kitchen for pairings, and a discreet store for stock and glassware. The renovated farmhouse kitchen remains Soo-Jin's; this is a public room.</w:t>
      </w:r>
    </w:p>
    <w:p>
      <w:pPr>
        <w:spacing w:before="180" w:after="40"/>
      </w:pPr>
      <w:r>
        <w:rPr>
          <w:b/>
          <w:color w:val="5B6B2E"/>
          <w:sz w:val="24"/>
        </w:rPr>
        <w:t>5. Indicative budget</w:t>
      </w:r>
    </w:p>
    <w:tbl>
      <w:tblPr>
        <w:tblStyle w:val="TableGrid"/>
        <w:tblW w:type="auto" w:w="0"/>
        <w:jc w:val="center"/>
        <w:tblLook w:firstColumn="1" w:firstRow="1" w:lastColumn="0" w:lastRow="0" w:noHBand="0" w:noVBand="1" w:val="04A0"/>
      </w:tblPr>
      <w:tblGrid>
        <w:gridCol w:w="4680"/>
        <w:gridCol w:w="4680"/>
      </w:tblGrid>
      <w:tr>
        <w:tc>
          <w:tcPr>
            <w:tcW w:type="dxa" w:w="4680"/>
            <w:shd w:val="clear" w:fill="5B6B2E"/>
          </w:tcPr>
          <w:p>
            <w:r>
              <w:rPr>
                <w:b/>
                <w:color w:val="FFFFFF"/>
              </w:rPr>
            </w:r>
            <w:r>
              <w:rPr>
                <w:b/>
                <w:color w:val="FFFFFF"/>
                <w:sz w:val="17"/>
              </w:rPr>
              <w:t>Item</w:t>
            </w:r>
          </w:p>
        </w:tc>
        <w:tc>
          <w:tcPr>
            <w:tcW w:type="dxa" w:w="4680"/>
            <w:shd w:val="clear" w:fill="5B6B2E"/>
          </w:tcPr>
          <w:p>
            <w:r>
              <w:rPr>
                <w:b/>
                <w:color w:val="FFFFFF"/>
              </w:rPr>
            </w:r>
            <w:r>
              <w:rPr>
                <w:b/>
                <w:color w:val="FFFFFF"/>
                <w:sz w:val="17"/>
              </w:rPr>
              <w:t>EUR (indicative)</w:t>
            </w:r>
          </w:p>
        </w:tc>
      </w:tr>
      <w:tr>
        <w:tc>
          <w:tcPr>
            <w:tcW w:type="dxa" w:w="4680"/>
          </w:tcPr>
          <w:p>
            <w:r/>
            <w:r>
              <w:rPr>
                <w:sz w:val="17"/>
              </w:rPr>
              <w:t>Structural and damp works</w:t>
            </w:r>
          </w:p>
        </w:tc>
        <w:tc>
          <w:tcPr>
            <w:tcW w:type="dxa" w:w="4680"/>
          </w:tcPr>
          <w:p>
            <w:r/>
            <w:r>
              <w:rPr>
                <w:sz w:val="17"/>
              </w:rPr>
              <w:t>18,000</w:t>
            </w:r>
          </w:p>
        </w:tc>
      </w:tr>
      <w:tr>
        <w:tc>
          <w:tcPr>
            <w:tcW w:type="dxa" w:w="4680"/>
          </w:tcPr>
          <w:p>
            <w:r/>
            <w:r>
              <w:rPr>
                <w:sz w:val="17"/>
              </w:rPr>
              <w:t>Tasting counter + seating</w:t>
            </w:r>
          </w:p>
        </w:tc>
        <w:tc>
          <w:tcPr>
            <w:tcW w:type="dxa" w:w="4680"/>
          </w:tcPr>
          <w:p>
            <w:r/>
            <w:r>
              <w:rPr>
                <w:sz w:val="17"/>
              </w:rPr>
              <w:t>9,000</w:t>
            </w:r>
          </w:p>
        </w:tc>
      </w:tr>
      <w:tr>
        <w:tc>
          <w:tcPr>
            <w:tcW w:type="dxa" w:w="4680"/>
          </w:tcPr>
          <w:p>
            <w:r/>
            <w:r>
              <w:rPr>
                <w:sz w:val="17"/>
              </w:rPr>
              <w:t>Small pairing kitchen</w:t>
            </w:r>
          </w:p>
        </w:tc>
        <w:tc>
          <w:tcPr>
            <w:tcW w:type="dxa" w:w="4680"/>
          </w:tcPr>
          <w:p>
            <w:r/>
            <w:r>
              <w:rPr>
                <w:sz w:val="17"/>
              </w:rPr>
              <w:t>12,000</w:t>
            </w:r>
          </w:p>
        </w:tc>
      </w:tr>
      <w:tr>
        <w:tc>
          <w:tcPr>
            <w:tcW w:type="dxa" w:w="4680"/>
          </w:tcPr>
          <w:p>
            <w:r/>
            <w:r>
              <w:rPr>
                <w:sz w:val="17"/>
              </w:rPr>
              <w:t>Lighting, heating, fit-out</w:t>
            </w:r>
          </w:p>
        </w:tc>
        <w:tc>
          <w:tcPr>
            <w:tcW w:type="dxa" w:w="4680"/>
          </w:tcPr>
          <w:p>
            <w:r/>
            <w:r>
              <w:rPr>
                <w:sz w:val="17"/>
              </w:rPr>
              <w:t>8,000</w:t>
            </w:r>
          </w:p>
        </w:tc>
      </w:tr>
      <w:tr>
        <w:tc>
          <w:tcPr>
            <w:tcW w:type="dxa" w:w="4680"/>
          </w:tcPr>
          <w:p>
            <w:r/>
            <w:r>
              <w:rPr>
                <w:sz w:val="17"/>
              </w:rPr>
              <w:t>Glassware + display</w:t>
            </w:r>
          </w:p>
        </w:tc>
        <w:tc>
          <w:tcPr>
            <w:tcW w:type="dxa" w:w="4680"/>
          </w:tcPr>
          <w:p>
            <w:r/>
            <w:r>
              <w:rPr>
                <w:sz w:val="17"/>
              </w:rPr>
              <w:t>3,000</w:t>
            </w:r>
          </w:p>
        </w:tc>
      </w:tr>
      <w:tr>
        <w:tc>
          <w:tcPr>
            <w:tcW w:type="dxa" w:w="4680"/>
          </w:tcPr>
          <w:p>
            <w:r/>
            <w:r>
              <w:rPr>
                <w:sz w:val="17"/>
              </w:rPr>
              <w:t>Signage + accessibility</w:t>
            </w:r>
          </w:p>
        </w:tc>
        <w:tc>
          <w:tcPr>
            <w:tcW w:type="dxa" w:w="4680"/>
          </w:tcPr>
          <w:p>
            <w:r/>
            <w:r>
              <w:rPr>
                <w:sz w:val="17"/>
              </w:rPr>
              <w:t>4,000</w:t>
            </w:r>
          </w:p>
        </w:tc>
      </w:tr>
      <w:tr>
        <w:tc>
          <w:tcPr>
            <w:tcW w:type="dxa" w:w="4680"/>
          </w:tcPr>
          <w:p>
            <w:r/>
            <w:r>
              <w:rPr>
                <w:sz w:val="17"/>
              </w:rPr>
              <w:t>TOTAL (indicative)</w:t>
            </w:r>
          </w:p>
        </w:tc>
        <w:tc>
          <w:tcPr>
            <w:tcW w:type="dxa" w:w="4680"/>
          </w:tcPr>
          <w:p>
            <w:r/>
            <w:r>
              <w:rPr>
                <w:sz w:val="17"/>
              </w:rPr>
              <w:t>54,000</w:t>
            </w:r>
          </w:p>
        </w:tc>
      </w:tr>
    </w:tbl>
    <w:p>
      <w:pPr>
        <w:spacing w:after="40"/>
      </w:pPr>
    </w:p>
    <w:p>
      <w:pPr>
        <w:spacing w:before="180" w:after="40"/>
      </w:pPr>
      <w:r>
        <w:rPr>
          <w:b/>
          <w:color w:val="5B6B2E"/>
          <w:sz w:val="24"/>
        </w:rPr>
        <w:t>6. Revenue case</w:t>
      </w:r>
    </w:p>
    <w:p>
      <w:pPr>
        <w:spacing w:after="80"/>
        <w:jc w:val="both"/>
      </w:pPr>
      <w:r>
        <w:rPr>
          <w:sz w:val="21"/>
        </w:rPr>
        <w:t>At current per-group pricing, a modest increase in tasting and tour capacity through the season pays back the fit-out over a few years while raising the share of oil sold direct at premium margins. Direct sales and bookings are tracked in workbook X11.</w:t>
      </w:r>
    </w:p>
    <w:p>
      <w:r>
        <w:br w:type="page"/>
      </w:r>
    </w:p>
    <w:p>
      <w:pPr>
        <w:spacing w:before="180" w:after="40"/>
      </w:pPr>
      <w:r>
        <w:rPr>
          <w:b/>
          <w:color w:val="5B6B2E"/>
          <w:sz w:val="24"/>
        </w:rPr>
        <w:t>7. Phasing</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5B6B2E"/>
          </w:tcPr>
          <w:p>
            <w:r>
              <w:rPr>
                <w:b/>
                <w:color w:val="FFFFFF"/>
              </w:rPr>
            </w:r>
            <w:r>
              <w:rPr>
                <w:b/>
                <w:color w:val="FFFFFF"/>
                <w:sz w:val="17"/>
              </w:rPr>
              <w:t>Phase</w:t>
            </w:r>
          </w:p>
        </w:tc>
        <w:tc>
          <w:tcPr>
            <w:tcW w:type="dxa" w:w="3120"/>
            <w:shd w:val="clear" w:fill="5B6B2E"/>
          </w:tcPr>
          <w:p>
            <w:r>
              <w:rPr>
                <w:b/>
                <w:color w:val="FFFFFF"/>
              </w:rPr>
            </w:r>
            <w:r>
              <w:rPr>
                <w:b/>
                <w:color w:val="FFFFFF"/>
                <w:sz w:val="17"/>
              </w:rPr>
              <w:t>Work</w:t>
            </w:r>
          </w:p>
        </w:tc>
        <w:tc>
          <w:tcPr>
            <w:tcW w:type="dxa" w:w="3120"/>
            <w:shd w:val="clear" w:fill="5B6B2E"/>
          </w:tcPr>
          <w:p>
            <w:r>
              <w:rPr>
                <w:b/>
                <w:color w:val="FFFFFF"/>
              </w:rPr>
            </w:r>
            <w:r>
              <w:rPr>
                <w:b/>
                <w:color w:val="FFFFFF"/>
                <w:sz w:val="17"/>
              </w:rPr>
              <w:t>When</w:t>
            </w:r>
          </w:p>
        </w:tc>
      </w:tr>
      <w:tr>
        <w:tc>
          <w:tcPr>
            <w:tcW w:type="dxa" w:w="3120"/>
          </w:tcPr>
          <w:p>
            <w:r/>
            <w:r>
              <w:rPr>
                <w:sz w:val="17"/>
              </w:rPr>
              <w:t>1</w:t>
            </w:r>
          </w:p>
        </w:tc>
        <w:tc>
          <w:tcPr>
            <w:tcW w:type="dxa" w:w="3120"/>
          </w:tcPr>
          <w:p>
            <w:r/>
            <w:r>
              <w:rPr>
                <w:sz w:val="17"/>
              </w:rPr>
              <w:t>Structural and damp; services</w:t>
            </w:r>
          </w:p>
        </w:tc>
        <w:tc>
          <w:tcPr>
            <w:tcW w:type="dxa" w:w="3120"/>
          </w:tcPr>
          <w:p>
            <w:r/>
            <w:r>
              <w:rPr>
                <w:sz w:val="17"/>
              </w:rPr>
              <w:t>after 2026 to 27 harvest</w:t>
            </w:r>
          </w:p>
        </w:tc>
      </w:tr>
      <w:tr>
        <w:tc>
          <w:tcPr>
            <w:tcW w:type="dxa" w:w="3120"/>
          </w:tcPr>
          <w:p>
            <w:r/>
            <w:r>
              <w:rPr>
                <w:sz w:val="17"/>
              </w:rPr>
              <w:t>2</w:t>
            </w:r>
          </w:p>
        </w:tc>
        <w:tc>
          <w:tcPr>
            <w:tcW w:type="dxa" w:w="3120"/>
          </w:tcPr>
          <w:p>
            <w:r/>
            <w:r>
              <w:rPr>
                <w:sz w:val="17"/>
              </w:rPr>
              <w:t>Counter, kitchen, fit-out</w:t>
            </w:r>
          </w:p>
        </w:tc>
        <w:tc>
          <w:tcPr>
            <w:tcW w:type="dxa" w:w="3120"/>
          </w:tcPr>
          <w:p>
            <w:r/>
            <w:r>
              <w:rPr>
                <w:sz w:val="17"/>
              </w:rPr>
              <w:t>spring 2027</w:t>
            </w:r>
          </w:p>
        </w:tc>
      </w:tr>
      <w:tr>
        <w:tc>
          <w:tcPr>
            <w:tcW w:type="dxa" w:w="3120"/>
          </w:tcPr>
          <w:p>
            <w:r/>
            <w:r>
              <w:rPr>
                <w:sz w:val="17"/>
              </w:rPr>
              <w:t>3</w:t>
            </w:r>
          </w:p>
        </w:tc>
        <w:tc>
          <w:tcPr>
            <w:tcW w:type="dxa" w:w="3120"/>
          </w:tcPr>
          <w:p>
            <w:r/>
            <w:r>
              <w:rPr>
                <w:sz w:val="17"/>
              </w:rPr>
              <w:t>Soft launch; tastings</w:t>
            </w:r>
          </w:p>
        </w:tc>
        <w:tc>
          <w:tcPr>
            <w:tcW w:type="dxa" w:w="3120"/>
          </w:tcPr>
          <w:p>
            <w:r/>
            <w:r>
              <w:rPr>
                <w:sz w:val="17"/>
              </w:rPr>
              <w:t>summer 2027</w:t>
            </w:r>
          </w:p>
        </w:tc>
      </w:tr>
      <w:tr>
        <w:tc>
          <w:tcPr>
            <w:tcW w:type="dxa" w:w="3120"/>
          </w:tcPr>
          <w:p>
            <w:r/>
            <w:r>
              <w:rPr>
                <w:sz w:val="17"/>
              </w:rPr>
              <w:t>4</w:t>
            </w:r>
          </w:p>
        </w:tc>
        <w:tc>
          <w:tcPr>
            <w:tcW w:type="dxa" w:w="3120"/>
          </w:tcPr>
          <w:p>
            <w:r/>
            <w:r>
              <w:rPr>
                <w:sz w:val="17"/>
              </w:rPr>
              <w:t>Full programme; events</w:t>
            </w:r>
          </w:p>
        </w:tc>
        <w:tc>
          <w:tcPr>
            <w:tcW w:type="dxa" w:w="3120"/>
          </w:tcPr>
          <w:p>
            <w:r/>
            <w:r>
              <w:rPr>
                <w:sz w:val="17"/>
              </w:rPr>
              <w:t>from autumn 2027</w:t>
            </w:r>
          </w:p>
        </w:tc>
      </w:tr>
    </w:tbl>
    <w:p>
      <w:pPr>
        <w:spacing w:after="40"/>
      </w:pPr>
    </w:p>
    <w:p>
      <w:pPr>
        <w:spacing w:before="180" w:after="40"/>
      </w:pPr>
      <w:r>
        <w:rPr>
          <w:b/>
          <w:color w:val="5B6B2E"/>
          <w:sz w:val="24"/>
        </w:rPr>
        <w:t>8. Risks and constraints</w:t>
      </w:r>
    </w:p>
    <w:p>
      <w:pPr>
        <w:pStyle w:val="ListBullet"/>
        <w:spacing w:after="20"/>
      </w:pPr>
      <w:r>
        <w:rPr>
          <w:sz w:val="21"/>
        </w:rPr>
        <w:t>Keep works clear of the harvest and pressing windows.</w:t>
      </w:r>
    </w:p>
    <w:p>
      <w:pPr>
        <w:pStyle w:val="ListBullet"/>
        <w:spacing w:after="20"/>
      </w:pPr>
      <w:r>
        <w:rPr>
          <w:sz w:val="21"/>
        </w:rPr>
        <w:t>Heritage character of the stable, conserve stonework and beams.</w:t>
      </w:r>
    </w:p>
    <w:p>
      <w:pPr>
        <w:pStyle w:val="ListBullet"/>
        <w:spacing w:after="20"/>
      </w:pPr>
      <w:r>
        <w:rPr>
          <w:sz w:val="21"/>
        </w:rPr>
        <w:t>Accessibility and food-handling compliance for the pairing kitchen.</w:t>
      </w:r>
    </w:p>
    <w:p>
      <w:pPr>
        <w:pStyle w:val="ListBullet"/>
        <w:spacing w:after="20"/>
      </w:pPr>
      <w:r>
        <w:rPr>
          <w:sz w:val="21"/>
        </w:rPr>
        <w:t>Any commitment at or above the approval threshold needs the owner's sign-off.</w:t>
      </w:r>
    </w:p>
    <w:p>
      <w:pPr>
        <w:spacing w:before="180" w:after="40"/>
      </w:pPr>
      <w:r>
        <w:rPr>
          <w:b/>
          <w:color w:val="5B6B2E"/>
          <w:sz w:val="24"/>
        </w:rPr>
        <w:t>9. Fit with the estate</w:t>
      </w:r>
    </w:p>
    <w:p>
      <w:pPr>
        <w:spacing w:after="80"/>
        <w:jc w:val="both"/>
      </w:pPr>
      <w:r>
        <w:rPr>
          <w:sz w:val="21"/>
        </w:rPr>
        <w:t>The expansion suits the estate's quiet, quality-first character: small groups, a personal welcome, the oil tasted where it is grown. It gives Soo-Jin the room the programme has outgrown without turning the finca into something it is not. The fountain restoration in the courtyard complements the project.</w:t>
      </w:r>
    </w:p>
    <w:p>
      <w:pPr>
        <w:spacing w:before="180" w:after="40"/>
      </w:pPr>
      <w:r>
        <w:rPr>
          <w:b/>
          <w:color w:val="5B6B2E"/>
          <w:sz w:val="24"/>
        </w:rPr>
        <w:t>10. Next steps</w:t>
      </w:r>
    </w:p>
    <w:p>
      <w:pPr>
        <w:pStyle w:val="ListBullet"/>
        <w:spacing w:after="20"/>
      </w:pPr>
      <w:r>
        <w:rPr>
          <w:sz w:val="21"/>
        </w:rPr>
        <w:t>Confirm structural scope with a local builder familiar with cortijo work.</w:t>
      </w:r>
    </w:p>
    <w:p>
      <w:pPr>
        <w:pStyle w:val="ListBullet"/>
        <w:spacing w:after="20"/>
      </w:pPr>
      <w:r>
        <w:rPr>
          <w:sz w:val="21"/>
        </w:rPr>
        <w:t>Firm up the budget and any rural-tourism grant eligibility.</w:t>
      </w:r>
    </w:p>
    <w:p>
      <w:pPr>
        <w:pStyle w:val="ListBullet"/>
        <w:spacing w:after="20"/>
      </w:pPr>
      <w:r>
        <w:rPr>
          <w:sz w:val="21"/>
        </w:rPr>
        <w:t>Schedule phase 1 for after the 2026 to 27 harvest.</w:t>
      </w:r>
    </w:p>
    <w:p>
      <w:pPr>
        <w:pStyle w:val="ListBullet"/>
        <w:spacing w:after="20"/>
      </w:pPr>
      <w:r>
        <w:rPr>
          <w:sz w:val="21"/>
        </w:rPr>
        <w:t>Review against the markets and fair calendar in workbook X11.</w:t>
      </w:r>
    </w:p>
    <w:p>
      <w:r>
        <w:br w:type="page"/>
      </w:r>
    </w:p>
    <w:p>
      <w:pPr>
        <w:spacing w:before="180" w:after="40"/>
      </w:pPr>
      <w:r>
        <w:rPr>
          <w:b/>
          <w:color w:val="5B6B2E"/>
          <w:sz w:val="24"/>
        </w:rPr>
        <w:t>11. Experience menu (proposed)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5B6B2E"/>
          </w:tcPr>
          <w:p>
            <w:r>
              <w:rPr>
                <w:b/>
                <w:color w:val="FFFFFF"/>
              </w:rPr>
            </w:r>
            <w:r>
              <w:rPr>
                <w:b/>
                <w:color w:val="FFFFFF"/>
                <w:sz w:val="17"/>
              </w:rPr>
              <w:t>Experience</w:t>
            </w:r>
          </w:p>
        </w:tc>
        <w:tc>
          <w:tcPr>
            <w:tcW w:type="dxa" w:w="2340"/>
            <w:shd w:val="clear" w:fill="5B6B2E"/>
          </w:tcPr>
          <w:p>
            <w:r>
              <w:rPr>
                <w:b/>
                <w:color w:val="FFFFFF"/>
              </w:rPr>
            </w:r>
            <w:r>
              <w:rPr>
                <w:b/>
                <w:color w:val="FFFFFF"/>
                <w:sz w:val="17"/>
              </w:rPr>
              <w:t>Duration</w:t>
            </w:r>
          </w:p>
        </w:tc>
        <w:tc>
          <w:tcPr>
            <w:tcW w:type="dxa" w:w="2340"/>
            <w:shd w:val="clear" w:fill="5B6B2E"/>
          </w:tcPr>
          <w:p>
            <w:r>
              <w:rPr>
                <w:b/>
                <w:color w:val="FFFFFF"/>
              </w:rPr>
            </w:r>
            <w:r>
              <w:rPr>
                <w:b/>
                <w:color w:val="FFFFFF"/>
                <w:sz w:val="17"/>
              </w:rPr>
              <w:t>Group</w:t>
            </w:r>
          </w:p>
        </w:tc>
        <w:tc>
          <w:tcPr>
            <w:tcW w:type="dxa" w:w="2340"/>
            <w:shd w:val="clear" w:fill="5B6B2E"/>
          </w:tcPr>
          <w:p>
            <w:r>
              <w:rPr>
                <w:b/>
                <w:color w:val="FFFFFF"/>
              </w:rPr>
            </w:r>
            <w:r>
              <w:rPr>
                <w:b/>
                <w:color w:val="FFFFFF"/>
                <w:sz w:val="17"/>
              </w:rPr>
              <w:t>EUR</w:t>
            </w:r>
          </w:p>
        </w:tc>
      </w:tr>
      <w:tr>
        <w:tc>
          <w:tcPr>
            <w:tcW w:type="dxa" w:w="2340"/>
          </w:tcPr>
          <w:p>
            <w:r/>
            <w:r>
              <w:rPr>
                <w:sz w:val="17"/>
              </w:rPr>
              <w:t>Estate tasting</w:t>
            </w:r>
          </w:p>
        </w:tc>
        <w:tc>
          <w:tcPr>
            <w:tcW w:type="dxa" w:w="2340"/>
          </w:tcPr>
          <w:p>
            <w:r/>
            <w:r>
              <w:rPr>
                <w:sz w:val="17"/>
              </w:rPr>
              <w:t>45 min</w:t>
            </w:r>
          </w:p>
        </w:tc>
        <w:tc>
          <w:tcPr>
            <w:tcW w:type="dxa" w:w="2340"/>
          </w:tcPr>
          <w:p>
            <w:r/>
            <w:r>
              <w:rPr>
                <w:sz w:val="17"/>
              </w:rPr>
              <w:t>up to 12</w:t>
            </w:r>
          </w:p>
        </w:tc>
        <w:tc>
          <w:tcPr>
            <w:tcW w:type="dxa" w:w="2340"/>
          </w:tcPr>
          <w:p>
            <w:r/>
            <w:r>
              <w:rPr>
                <w:sz w:val="17"/>
              </w:rPr>
              <w:t>25 pp</w:t>
            </w:r>
          </w:p>
        </w:tc>
      </w:tr>
      <w:tr>
        <w:tc>
          <w:tcPr>
            <w:tcW w:type="dxa" w:w="2340"/>
          </w:tcPr>
          <w:p>
            <w:r/>
            <w:r>
              <w:rPr>
                <w:sz w:val="17"/>
              </w:rPr>
              <w:t>Tasting + grove walk</w:t>
            </w:r>
          </w:p>
        </w:tc>
        <w:tc>
          <w:tcPr>
            <w:tcW w:type="dxa" w:w="2340"/>
          </w:tcPr>
          <w:p>
            <w:r/>
            <w:r>
              <w:rPr>
                <w:sz w:val="17"/>
              </w:rPr>
              <w:t>90 min</w:t>
            </w:r>
          </w:p>
        </w:tc>
        <w:tc>
          <w:tcPr>
            <w:tcW w:type="dxa" w:w="2340"/>
          </w:tcPr>
          <w:p>
            <w:r/>
            <w:r>
              <w:rPr>
                <w:sz w:val="17"/>
              </w:rPr>
              <w:t>6-10</w:t>
            </w:r>
          </w:p>
        </w:tc>
        <w:tc>
          <w:tcPr>
            <w:tcW w:type="dxa" w:w="2340"/>
          </w:tcPr>
          <w:p>
            <w:r/>
            <w:r>
              <w:rPr>
                <w:sz w:val="17"/>
              </w:rPr>
              <w:t>90</w:t>
            </w:r>
          </w:p>
        </w:tc>
      </w:tr>
      <w:tr>
        <w:tc>
          <w:tcPr>
            <w:tcW w:type="dxa" w:w="2340"/>
          </w:tcPr>
          <w:p>
            <w:r/>
            <w:r>
              <w:rPr>
                <w:sz w:val="17"/>
              </w:rPr>
              <w:t>Harvest experience</w:t>
            </w:r>
          </w:p>
        </w:tc>
        <w:tc>
          <w:tcPr>
            <w:tcW w:type="dxa" w:w="2340"/>
          </w:tcPr>
          <w:p>
            <w:r/>
            <w:r>
              <w:rPr>
                <w:sz w:val="17"/>
              </w:rPr>
              <w:t>half day</w:t>
            </w:r>
          </w:p>
        </w:tc>
        <w:tc>
          <w:tcPr>
            <w:tcW w:type="dxa" w:w="2340"/>
          </w:tcPr>
          <w:p>
            <w:r/>
            <w:r>
              <w:rPr>
                <w:sz w:val="17"/>
              </w:rPr>
              <w:t>8-10</w:t>
            </w:r>
          </w:p>
        </w:tc>
        <w:tc>
          <w:tcPr>
            <w:tcW w:type="dxa" w:w="2340"/>
          </w:tcPr>
          <w:p>
            <w:r/>
            <w:r>
              <w:rPr>
                <w:sz w:val="17"/>
              </w:rPr>
              <w:t>160</w:t>
            </w:r>
          </w:p>
        </w:tc>
      </w:tr>
      <w:tr>
        <w:tc>
          <w:tcPr>
            <w:tcW w:type="dxa" w:w="2340"/>
          </w:tcPr>
          <w:p>
            <w:r/>
            <w:r>
              <w:rPr>
                <w:sz w:val="17"/>
              </w:rPr>
              <w:t>Press-house tour (peak)</w:t>
            </w:r>
          </w:p>
        </w:tc>
        <w:tc>
          <w:tcPr>
            <w:tcW w:type="dxa" w:w="2340"/>
          </w:tcPr>
          <w:p>
            <w:r/>
            <w:r>
              <w:rPr>
                <w:sz w:val="17"/>
              </w:rPr>
              <w:t>60 min</w:t>
            </w:r>
          </w:p>
        </w:tc>
        <w:tc>
          <w:tcPr>
            <w:tcW w:type="dxa" w:w="2340"/>
          </w:tcPr>
          <w:p>
            <w:r/>
            <w:r>
              <w:rPr>
                <w:sz w:val="17"/>
              </w:rPr>
              <w:t>up to 10</w:t>
            </w:r>
          </w:p>
        </w:tc>
        <w:tc>
          <w:tcPr>
            <w:tcW w:type="dxa" w:w="2340"/>
          </w:tcPr>
          <w:p>
            <w:r/>
            <w:r>
              <w:rPr>
                <w:sz w:val="17"/>
              </w:rPr>
              <w:t>250</w:t>
            </w:r>
          </w:p>
        </w:tc>
      </w:tr>
      <w:tr>
        <w:tc>
          <w:tcPr>
            <w:tcW w:type="dxa" w:w="2340"/>
          </w:tcPr>
          <w:p>
            <w:r/>
            <w:r>
              <w:rPr>
                <w:sz w:val="17"/>
              </w:rPr>
              <w:t>Tasting + Korean-Spanish lunch</w:t>
            </w:r>
          </w:p>
        </w:tc>
        <w:tc>
          <w:tcPr>
            <w:tcW w:type="dxa" w:w="2340"/>
          </w:tcPr>
          <w:p>
            <w:r/>
            <w:r>
              <w:rPr>
                <w:sz w:val="17"/>
              </w:rPr>
              <w:t>2.5 h</w:t>
            </w:r>
          </w:p>
        </w:tc>
        <w:tc>
          <w:tcPr>
            <w:tcW w:type="dxa" w:w="2340"/>
          </w:tcPr>
          <w:p>
            <w:r/>
            <w:r>
              <w:rPr>
                <w:sz w:val="17"/>
              </w:rPr>
              <w:t>up to 12</w:t>
            </w:r>
          </w:p>
        </w:tc>
        <w:tc>
          <w:tcPr>
            <w:tcW w:type="dxa" w:w="2340"/>
          </w:tcPr>
          <w:p>
            <w:r/>
            <w:r>
              <w:rPr>
                <w:sz w:val="17"/>
              </w:rPr>
              <w:t>420</w:t>
            </w:r>
          </w:p>
        </w:tc>
      </w:tr>
    </w:tbl>
    <w:p>
      <w:pPr>
        <w:spacing w:after="40"/>
      </w:pPr>
    </w:p>
    <w:p>
      <w:pPr>
        <w:spacing w:before="180" w:after="40"/>
      </w:pPr>
      <w:r>
        <w:rPr>
          <w:b/>
          <w:color w:val="5B6B2E"/>
          <w:sz w:val="24"/>
        </w:rPr>
        <w:t>12. Marketing and channels</w:t>
      </w:r>
    </w:p>
    <w:p>
      <w:pPr>
        <w:pStyle w:val="ListBullet"/>
        <w:spacing w:after="20"/>
      </w:pPr>
      <w:r>
        <w:rPr>
          <w:sz w:val="21"/>
        </w:rPr>
        <w:t>Lead with the estate story: single-estate, organic-converting, two-country table.</w:t>
      </w:r>
    </w:p>
    <w:p>
      <w:pPr>
        <w:pStyle w:val="ListBullet"/>
        <w:spacing w:after="20"/>
      </w:pPr>
      <w:r>
        <w:rPr>
          <w:sz w:val="21"/>
        </w:rPr>
        <w:t>Avoid worn words like 'artisanal' and 'curated', let the oil and the place speak.</w:t>
      </w:r>
    </w:p>
    <w:p>
      <w:pPr>
        <w:pStyle w:val="ListBullet"/>
        <w:spacing w:after="20"/>
      </w:pPr>
      <w:r>
        <w:rPr>
          <w:sz w:val="21"/>
        </w:rPr>
        <w:t>Bookings through the website and at the Baena and Cordoba markets.</w:t>
      </w:r>
    </w:p>
    <w:p>
      <w:pPr>
        <w:pStyle w:val="ListBullet"/>
        <w:spacing w:after="20"/>
      </w:pPr>
      <w:r>
        <w:rPr>
          <w:sz w:val="21"/>
        </w:rPr>
        <w:t>Cross-sell tins and bottles at every tasting; track in workbook X11.</w:t>
      </w:r>
    </w:p>
    <w:p>
      <w:pPr>
        <w:spacing w:before="180" w:after="40"/>
      </w:pPr>
      <w:r>
        <w:rPr>
          <w:b/>
          <w:color w:val="5B6B2E"/>
          <w:sz w:val="24"/>
        </w:rPr>
        <w:t>13. Seasonality</w:t>
      </w:r>
    </w:p>
    <w:p>
      <w:pPr>
        <w:spacing w:after="80"/>
        <w:jc w:val="both"/>
      </w:pPr>
      <w:r>
        <w:rPr>
          <w:sz w:val="21"/>
        </w:rPr>
        <w:t>Harvest (November-January) is the natural peak, when the press house is the draw and visitors can taste the first green oil of the year. Spring and early autumn suit grove walks and lunches. The deep summer is quiet by design, the heat stills even the cicadas, and is the right window for the building works.</w:t>
      </w:r>
    </w:p>
    <w:p>
      <w:pPr>
        <w:spacing w:before="180" w:after="40"/>
      </w:pPr>
      <w:r>
        <w:rPr>
          <w:b/>
          <w:color w:val="5B6B2E"/>
          <w:sz w:val="24"/>
        </w:rPr>
        <w:t>14. Decision</w:t>
      </w:r>
    </w:p>
    <w:p>
      <w:pPr>
        <w:spacing w:after="80"/>
        <w:jc w:val="both"/>
      </w:pPr>
      <w:r>
        <w:rPr>
          <w:sz w:val="21"/>
        </w:rPr>
        <w:t>This plan is for the owner's and Soo-Jin's review. It commits nothing; phase 1 would proceed only on explicit approval and a firmed-up builder's quote after the 2026 to 27 harvest.</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666"/>
        <w:sz w:val="15"/>
      </w:rPr>
      <w:t>Finca Miles - Agritourism Expansion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8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