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B6B2E"/>
          <w:sz w:val="26"/>
        </w:rPr>
        <w:t>Cooperativa Oleicola Sierra Morena</w:t>
      </w:r>
    </w:p>
    <w:p>
      <w:pPr>
        <w:spacing w:after="80"/>
      </w:pPr>
      <w:r>
        <w:rPr>
          <w:color w:val="7C7666"/>
          <w:sz w:val="17"/>
        </w:rPr>
        <w:t>Meeting Minutes | Autumn General Meeting</w:t>
      </w:r>
    </w:p>
    <w:p>
      <w:pPr>
        <w:spacing w:after="120"/>
        <w:pBdr>
          <w:bottom w:val="single" w:sz="12" w:color="5B6B2E" w:space="1"/>
        </w:pBdr>
      </w:pPr>
    </w:p>
    <w:p>
      <w:pPr>
        <w:jc w:val="center"/>
      </w:pPr>
      <w:r>
        <w:rPr>
          <w:b/>
          <w:color w:val="2B2823"/>
          <w:sz w:val="34"/>
        </w:rPr>
        <w:t>Cooperative Meeting Minutes</w:t>
      </w:r>
    </w:p>
    <w:p>
      <w:pPr>
        <w:jc w:val="center"/>
      </w:pPr>
      <w:r>
        <w:rPr>
          <w:color w:val="B8862B"/>
          <w:sz w:val="21"/>
        </w:rPr>
        <w:t>Autumn general meeting, 22 October 2026</w:t>
      </w:r>
    </w:p>
    <w:tbl>
      <w:tblPr>
        <w:tblStyle w:val="TableGrid"/>
        <w:tblW w:type="auto" w:w="0"/>
        <w:jc w:val="center"/>
        <w:tblLook w:firstColumn="1" w:firstRow="1" w:lastColumn="0" w:lastRow="0" w:noHBand="0" w:noVBand="1" w:val="04A0"/>
      </w:tblPr>
      <w:tblGrid>
        <w:gridCol w:w="4680"/>
        <w:gridCol w:w="4680"/>
      </w:tblGrid>
      <w:tr>
        <w:tc>
          <w:tcPr>
            <w:tcW w:type="dxa" w:w="4680"/>
            <w:shd w:val="clear" w:fill="5B6B2E"/>
          </w:tcPr>
          <w:p>
            <w:r>
              <w:rPr>
                <w:b/>
                <w:color w:val="FFFFFF"/>
              </w:rPr>
            </w:r>
            <w:r>
              <w:rPr>
                <w:b/>
                <w:color w:val="FFFFFF"/>
                <w:sz w:val="17"/>
              </w:rPr>
              <w:t>Field</w:t>
            </w:r>
          </w:p>
        </w:tc>
        <w:tc>
          <w:tcPr>
            <w:tcW w:type="dxa" w:w="4680"/>
            <w:shd w:val="clear" w:fill="5B6B2E"/>
          </w:tcPr>
          <w:p>
            <w:r>
              <w:rPr>
                <w:b/>
                <w:color w:val="FFFFFF"/>
              </w:rPr>
            </w:r>
            <w:r>
              <w:rPr>
                <w:b/>
                <w:color w:val="FFFFFF"/>
                <w:sz w:val="17"/>
              </w:rPr>
              <w:t>Detail</w:t>
            </w:r>
          </w:p>
        </w:tc>
      </w:tr>
      <w:tr>
        <w:tc>
          <w:tcPr>
            <w:tcW w:type="dxa" w:w="4680"/>
          </w:tcPr>
          <w:p>
            <w:r/>
            <w:r>
              <w:rPr>
                <w:sz w:val="17"/>
              </w:rPr>
              <w:t>Date</w:t>
            </w:r>
          </w:p>
        </w:tc>
        <w:tc>
          <w:tcPr>
            <w:tcW w:type="dxa" w:w="4680"/>
          </w:tcPr>
          <w:p>
            <w:r/>
            <w:r>
              <w:rPr>
                <w:sz w:val="17"/>
              </w:rPr>
              <w:t>2026-10-22, 17:00</w:t>
            </w:r>
          </w:p>
        </w:tc>
      </w:tr>
      <w:tr>
        <w:tc>
          <w:tcPr>
            <w:tcW w:type="dxa" w:w="4680"/>
          </w:tcPr>
          <w:p>
            <w:r/>
            <w:r>
              <w:rPr>
                <w:sz w:val="17"/>
              </w:rPr>
              <w:t>Venue</w:t>
            </w:r>
          </w:p>
        </w:tc>
        <w:tc>
          <w:tcPr>
            <w:tcW w:type="dxa" w:w="4680"/>
          </w:tcPr>
          <w:p>
            <w:r/>
            <w:r>
              <w:rPr>
                <w:sz w:val="17"/>
              </w:rPr>
              <w:t>Cooperative hall, Baena</w:t>
            </w:r>
          </w:p>
        </w:tc>
      </w:tr>
      <w:tr>
        <w:tc>
          <w:tcPr>
            <w:tcW w:type="dxa" w:w="4680"/>
          </w:tcPr>
          <w:p>
            <w:r/>
            <w:r>
              <w:rPr>
                <w:sz w:val="17"/>
              </w:rPr>
              <w:t>Chair</w:t>
            </w:r>
          </w:p>
        </w:tc>
        <w:tc>
          <w:tcPr>
            <w:tcW w:type="dxa" w:w="4680"/>
          </w:tcPr>
          <w:p>
            <w:r/>
            <w:r>
              <w:rPr>
                <w:sz w:val="17"/>
              </w:rPr>
              <w:t>Isabel Morales</w:t>
            </w:r>
          </w:p>
        </w:tc>
      </w:tr>
      <w:tr>
        <w:tc>
          <w:tcPr>
            <w:tcW w:type="dxa" w:w="4680"/>
          </w:tcPr>
          <w:p>
            <w:r/>
            <w:r>
              <w:rPr>
                <w:sz w:val="17"/>
              </w:rPr>
              <w:t>Recorded for</w:t>
            </w:r>
          </w:p>
        </w:tc>
        <w:tc>
          <w:tcPr>
            <w:tcW w:type="dxa" w:w="4680"/>
          </w:tcPr>
          <w:p>
            <w:r/>
            <w:r>
              <w:rPr>
                <w:sz w:val="17"/>
              </w:rPr>
              <w:t>Min Miles Park (member)</w:t>
            </w:r>
          </w:p>
        </w:tc>
      </w:tr>
    </w:tbl>
    <w:p>
      <w:pPr>
        <w:spacing w:after="40"/>
      </w:pPr>
    </w:p>
    <w:p>
      <w:pPr>
        <w:spacing w:before="180" w:after="40"/>
      </w:pPr>
      <w:r>
        <w:rPr>
          <w:b/>
          <w:color w:val="5B6B2E"/>
          <w:sz w:val="24"/>
        </w:rPr>
        <w:t>1. Welcome and quorum</w:t>
      </w:r>
    </w:p>
    <w:p>
      <w:pPr>
        <w:spacing w:after="80"/>
        <w:jc w:val="both"/>
      </w:pPr>
      <w:r>
        <w:rPr>
          <w:sz w:val="21"/>
        </w:rPr>
        <w:t>The president opened the meeting and confirmed a quorum under the statutes. Apologies were noted. The agenda circulated in the members' pack was adopted without change.</w:t>
      </w:r>
    </w:p>
    <w:p>
      <w:pPr>
        <w:spacing w:before="180" w:after="40"/>
      </w:pPr>
      <w:r>
        <w:rPr>
          <w:b/>
          <w:color w:val="5B6B2E"/>
          <w:sz w:val="24"/>
        </w:rPr>
        <w:t>2. Minutes of the spring meeting</w:t>
      </w:r>
    </w:p>
    <w:p>
      <w:pPr>
        <w:spacing w:after="80"/>
        <w:jc w:val="both"/>
      </w:pPr>
      <w:r>
        <w:rPr>
          <w:sz w:val="21"/>
        </w:rPr>
        <w:t>The minutes of the spring meeting were approved as a true record, with one correction to the recorded pool advance figure.</w:t>
      </w:r>
    </w:p>
    <w:p>
      <w:pPr>
        <w:spacing w:before="180" w:after="40"/>
      </w:pPr>
      <w:r>
        <w:rPr>
          <w:b/>
          <w:color w:val="5B6B2E"/>
          <w:sz w:val="24"/>
        </w:rPr>
        <w:t>3. Harvest projections 2026-27</w:t>
      </w:r>
    </w:p>
    <w:p>
      <w:pPr>
        <w:spacing w:after="80"/>
        <w:jc w:val="both"/>
      </w:pPr>
      <w:r>
        <w:rPr>
          <w:sz w:val="21"/>
        </w:rPr>
        <w:t>The technical committee presented a projection broadly in line with a normal year, subject to the autumn rains. Members were asked to submit estimated tonnage by parcel to allow the mill to schedule pressing slots and avoid the peak-season queue. This estate undertook to submit its estimate before harvest.</w:t>
      </w:r>
    </w:p>
    <w:p>
      <w:r>
        <w:br w:type="page"/>
      </w:r>
    </w:p>
    <w:p>
      <w:pPr>
        <w:spacing w:before="180" w:after="40"/>
      </w:pPr>
      <w:r>
        <w:rPr>
          <w:b/>
          <w:color w:val="5B6B2E"/>
          <w:sz w:val="24"/>
        </w:rPr>
        <w:t>4. Organic subsidy review</w:t>
      </w:r>
    </w:p>
    <w:p>
      <w:pPr>
        <w:spacing w:after="80"/>
        <w:jc w:val="both"/>
      </w:pPr>
      <w:r>
        <w:rPr>
          <w:sz w:val="21"/>
        </w:rPr>
        <w:t>The board reviewed the cooperative's position on organic subsidies. Several members, this estate among them, carry parcels in conversion. The board proposed centralising part of the organic documentation to lighten each member's audit load. The estate's east grove completes conversion at the spring 2027 inspection.</w:t>
      </w:r>
    </w:p>
    <w:p>
      <w:pPr>
        <w:spacing w:before="180" w:after="40"/>
      </w:pPr>
      <w:r>
        <w:rPr>
          <w:b/>
          <w:color w:val="5B6B2E"/>
          <w:sz w:val="24"/>
        </w:rPr>
        <w:t>5. Pool price and advances</w:t>
      </w:r>
    </w:p>
    <w:tbl>
      <w:tblPr>
        <w:tblStyle w:val="TableGrid"/>
        <w:tblW w:type="auto" w:w="0"/>
        <w:jc w:val="center"/>
        <w:tblLook w:firstColumn="1" w:firstRow="1" w:lastColumn="0" w:lastRow="0" w:noHBand="0" w:noVBand="1" w:val="04A0"/>
      </w:tblPr>
      <w:tblGrid>
        <w:gridCol w:w="4680"/>
        <w:gridCol w:w="4680"/>
      </w:tblGrid>
      <w:tr>
        <w:tc>
          <w:tcPr>
            <w:tcW w:type="dxa" w:w="4680"/>
            <w:shd w:val="clear" w:fill="5B6B2E"/>
          </w:tcPr>
          <w:p>
            <w:r>
              <w:rPr>
                <w:b/>
                <w:color w:val="FFFFFF"/>
              </w:rPr>
            </w:r>
            <w:r>
              <w:rPr>
                <w:b/>
                <w:color w:val="FFFFFF"/>
                <w:sz w:val="17"/>
              </w:rPr>
              <w:t>Item</w:t>
            </w:r>
          </w:p>
        </w:tc>
        <w:tc>
          <w:tcPr>
            <w:tcW w:type="dxa" w:w="4680"/>
            <w:shd w:val="clear" w:fill="5B6B2E"/>
          </w:tcPr>
          <w:p>
            <w:r>
              <w:rPr>
                <w:b/>
                <w:color w:val="FFFFFF"/>
              </w:rPr>
            </w:r>
            <w:r>
              <w:rPr>
                <w:b/>
                <w:color w:val="FFFFFF"/>
                <w:sz w:val="17"/>
              </w:rPr>
              <w:t>Decision</w:t>
            </w:r>
          </w:p>
        </w:tc>
      </w:tr>
      <w:tr>
        <w:tc>
          <w:tcPr>
            <w:tcW w:type="dxa" w:w="4680"/>
          </w:tcPr>
          <w:p>
            <w:r/>
            <w:r>
              <w:rPr>
                <w:sz w:val="17"/>
              </w:rPr>
              <w:t>Provisional pool price</w:t>
            </w:r>
          </w:p>
        </w:tc>
        <w:tc>
          <w:tcPr>
            <w:tcW w:type="dxa" w:w="4680"/>
          </w:tcPr>
          <w:p>
            <w:r/>
            <w:r>
              <w:rPr>
                <w:sz w:val="17"/>
              </w:rPr>
              <w:t>indicative EUR ~4.30/L, to be confirmed</w:t>
            </w:r>
          </w:p>
        </w:tc>
      </w:tr>
      <w:tr>
        <w:tc>
          <w:tcPr>
            <w:tcW w:type="dxa" w:w="4680"/>
          </w:tcPr>
          <w:p>
            <w:r/>
            <w:r>
              <w:rPr>
                <w:sz w:val="17"/>
              </w:rPr>
              <w:t>Harvest advance</w:t>
            </w:r>
          </w:p>
        </w:tc>
        <w:tc>
          <w:tcPr>
            <w:tcW w:type="dxa" w:w="4680"/>
          </w:tcPr>
          <w:p>
            <w:r/>
            <w:r>
              <w:rPr>
                <w:sz w:val="17"/>
              </w:rPr>
              <w:t>per litre on delivery</w:t>
            </w:r>
          </w:p>
        </w:tc>
      </w:tr>
      <w:tr>
        <w:tc>
          <w:tcPr>
            <w:tcW w:type="dxa" w:w="4680"/>
          </w:tcPr>
          <w:p>
            <w:r/>
            <w:r>
              <w:rPr>
                <w:sz w:val="17"/>
              </w:rPr>
              <w:t>Final settlement</w:t>
            </w:r>
          </w:p>
        </w:tc>
        <w:tc>
          <w:tcPr>
            <w:tcW w:type="dxa" w:w="4680"/>
          </w:tcPr>
          <w:p>
            <w:r/>
            <w:r>
              <w:rPr>
                <w:sz w:val="17"/>
              </w:rPr>
              <w:t>after season close and sales</w:t>
            </w:r>
          </w:p>
        </w:tc>
      </w:tr>
      <w:tr>
        <w:tc>
          <w:tcPr>
            <w:tcW w:type="dxa" w:w="4680"/>
          </w:tcPr>
          <w:p>
            <w:r/>
            <w:r>
              <w:rPr>
                <w:sz w:val="17"/>
              </w:rPr>
              <w:t>Quality differential</w:t>
            </w:r>
          </w:p>
        </w:tc>
        <w:tc>
          <w:tcPr>
            <w:tcW w:type="dxa" w:w="4680"/>
          </w:tcPr>
          <w:p>
            <w:r/>
            <w:r>
              <w:rPr>
                <w:sz w:val="17"/>
              </w:rPr>
              <w:t>premium retained for low-acidity lots</w:t>
            </w:r>
          </w:p>
        </w:tc>
      </w:tr>
    </w:tbl>
    <w:p>
      <w:pPr>
        <w:spacing w:after="40"/>
      </w:pPr>
    </w:p>
    <w:p>
      <w:pPr>
        <w:spacing w:before="180" w:after="40"/>
      </w:pPr>
      <w:r>
        <w:rPr>
          <w:b/>
          <w:color w:val="5B6B2E"/>
          <w:sz w:val="24"/>
        </w:rPr>
        <w:t>6. Mill scheduling</w:t>
      </w:r>
    </w:p>
    <w:p>
      <w:pPr>
        <w:spacing w:after="80"/>
        <w:jc w:val="both"/>
      </w:pPr>
      <w:r>
        <w:rPr>
          <w:sz w:val="21"/>
        </w:rPr>
        <w:t>The mill manager presented a scheduling policy publishing pressing slots by member and parcel, grouping organic deliveries to allow segregated runs. The policy was supported.</w:t>
      </w:r>
    </w:p>
    <w:p>
      <w:r>
        <w:br w:type="page"/>
      </w:r>
    </w:p>
    <w:p>
      <w:pPr>
        <w:spacing w:before="180" w:after="40"/>
      </w:pPr>
      <w:r>
        <w:rPr>
          <w:b/>
          <w:color w:val="5B6B2E"/>
          <w:sz w:val="24"/>
        </w:rPr>
        <w:t>7. Decisions and motions</w:t>
      </w:r>
    </w:p>
    <w:tbl>
      <w:tblPr>
        <w:tblStyle w:val="TableGrid"/>
        <w:tblW w:type="auto" w:w="0"/>
        <w:jc w:val="center"/>
        <w:tblLook w:firstColumn="1" w:firstRow="1" w:lastColumn="0" w:lastRow="0" w:noHBand="0" w:noVBand="1" w:val="04A0"/>
      </w:tblPr>
      <w:tblGrid>
        <w:gridCol w:w="4680"/>
        <w:gridCol w:w="4680"/>
      </w:tblGrid>
      <w:tr>
        <w:tc>
          <w:tcPr>
            <w:tcW w:type="dxa" w:w="4680"/>
            <w:shd w:val="clear" w:fill="5B6B2E"/>
          </w:tcPr>
          <w:p>
            <w:r>
              <w:rPr>
                <w:b/>
                <w:color w:val="FFFFFF"/>
              </w:rPr>
            </w:r>
            <w:r>
              <w:rPr>
                <w:b/>
                <w:color w:val="FFFFFF"/>
                <w:sz w:val="17"/>
              </w:rPr>
              <w:t>Motion</w:t>
            </w:r>
          </w:p>
        </w:tc>
        <w:tc>
          <w:tcPr>
            <w:tcW w:type="dxa" w:w="4680"/>
            <w:shd w:val="clear" w:fill="5B6B2E"/>
          </w:tcPr>
          <w:p>
            <w:r>
              <w:rPr>
                <w:b/>
                <w:color w:val="FFFFFF"/>
              </w:rPr>
            </w:r>
            <w:r>
              <w:rPr>
                <w:b/>
                <w:color w:val="FFFFFF"/>
                <w:sz w:val="17"/>
              </w:rPr>
              <w:t>Outcome</w:t>
            </w:r>
          </w:p>
        </w:tc>
      </w:tr>
      <w:tr>
        <w:tc>
          <w:tcPr>
            <w:tcW w:type="dxa" w:w="4680"/>
          </w:tcPr>
          <w:p>
            <w:r/>
            <w:r>
              <w:rPr>
                <w:sz w:val="17"/>
              </w:rPr>
              <w:t>Centralised organic documentation support</w:t>
            </w:r>
          </w:p>
        </w:tc>
        <w:tc>
          <w:tcPr>
            <w:tcW w:type="dxa" w:w="4680"/>
          </w:tcPr>
          <w:p>
            <w:r/>
            <w:r>
              <w:rPr>
                <w:sz w:val="17"/>
              </w:rPr>
              <w:t>carried</w:t>
            </w:r>
          </w:p>
        </w:tc>
      </w:tr>
      <w:tr>
        <w:tc>
          <w:tcPr>
            <w:tcW w:type="dxa" w:w="4680"/>
          </w:tcPr>
          <w:p>
            <w:r/>
            <w:r>
              <w:rPr>
                <w:sz w:val="17"/>
              </w:rPr>
              <w:t>Confirm pool advance rate</w:t>
            </w:r>
          </w:p>
        </w:tc>
        <w:tc>
          <w:tcPr>
            <w:tcW w:type="dxa" w:w="4680"/>
          </w:tcPr>
          <w:p>
            <w:r/>
            <w:r>
              <w:rPr>
                <w:sz w:val="17"/>
              </w:rPr>
              <w:t>carried</w:t>
            </w:r>
          </w:p>
        </w:tc>
      </w:tr>
      <w:tr>
        <w:tc>
          <w:tcPr>
            <w:tcW w:type="dxa" w:w="4680"/>
          </w:tcPr>
          <w:p>
            <w:r/>
            <w:r>
              <w:rPr>
                <w:sz w:val="17"/>
              </w:rPr>
              <w:t>Approve mill schedule policy</w:t>
            </w:r>
          </w:p>
        </w:tc>
        <w:tc>
          <w:tcPr>
            <w:tcW w:type="dxa" w:w="4680"/>
          </w:tcPr>
          <w:p>
            <w:r/>
            <w:r>
              <w:rPr>
                <w:sz w:val="17"/>
              </w:rPr>
              <w:t>carried</w:t>
            </w:r>
          </w:p>
        </w:tc>
      </w:tr>
    </w:tbl>
    <w:p>
      <w:pPr>
        <w:spacing w:after="40"/>
      </w:pPr>
    </w:p>
    <w:p>
      <w:pPr>
        <w:spacing w:before="180" w:after="40"/>
      </w:pPr>
      <w:r>
        <w:rPr>
          <w:b/>
          <w:color w:val="5B6B2E"/>
          <w:sz w:val="24"/>
        </w:rPr>
        <w:t>8. Action items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shd w:val="clear" w:fill="5B6B2E"/>
          </w:tcPr>
          <w:p>
            <w:r>
              <w:rPr>
                <w:b/>
                <w:color w:val="FFFFFF"/>
              </w:rPr>
            </w:r>
            <w:r>
              <w:rPr>
                <w:b/>
                <w:color w:val="FFFFFF"/>
                <w:sz w:val="17"/>
              </w:rPr>
              <w:t>#</w:t>
            </w:r>
          </w:p>
        </w:tc>
        <w:tc>
          <w:tcPr>
            <w:tcW w:type="dxa" w:w="2340"/>
            <w:shd w:val="clear" w:fill="5B6B2E"/>
          </w:tcPr>
          <w:p>
            <w:r>
              <w:rPr>
                <w:b/>
                <w:color w:val="FFFFFF"/>
              </w:rPr>
            </w:r>
            <w:r>
              <w:rPr>
                <w:b/>
                <w:color w:val="FFFFFF"/>
                <w:sz w:val="17"/>
              </w:rPr>
              <w:t>Action</w:t>
            </w:r>
          </w:p>
        </w:tc>
        <w:tc>
          <w:tcPr>
            <w:tcW w:type="dxa" w:w="2340"/>
            <w:shd w:val="clear" w:fill="5B6B2E"/>
          </w:tcPr>
          <w:p>
            <w:r>
              <w:rPr>
                <w:b/>
                <w:color w:val="FFFFFF"/>
              </w:rPr>
            </w:r>
            <w:r>
              <w:rPr>
                <w:b/>
                <w:color w:val="FFFFFF"/>
                <w:sz w:val="17"/>
              </w:rPr>
              <w:t>Owner</w:t>
            </w:r>
          </w:p>
        </w:tc>
        <w:tc>
          <w:tcPr>
            <w:tcW w:type="dxa" w:w="2340"/>
            <w:shd w:val="clear" w:fill="5B6B2E"/>
          </w:tcPr>
          <w:p>
            <w:r>
              <w:rPr>
                <w:b/>
                <w:color w:val="FFFFFF"/>
              </w:rPr>
            </w:r>
            <w:r>
              <w:rPr>
                <w:b/>
                <w:color w:val="FFFFFF"/>
                <w:sz w:val="17"/>
              </w:rPr>
              <w:t>Due</w:t>
            </w:r>
          </w:p>
        </w:tc>
      </w:tr>
      <w:tr>
        <w:tc>
          <w:tcPr>
            <w:tcW w:type="dxa" w:w="2340"/>
          </w:tcPr>
          <w:p>
            <w:r/>
            <w:r>
              <w:rPr>
                <w:sz w:val="17"/>
              </w:rPr>
              <w:t>1</w:t>
            </w:r>
          </w:p>
        </w:tc>
        <w:tc>
          <w:tcPr>
            <w:tcW w:type="dxa" w:w="2340"/>
          </w:tcPr>
          <w:p>
            <w:r/>
            <w:r>
              <w:rPr>
                <w:sz w:val="17"/>
              </w:rPr>
              <w:t>Submit 2026-27 tonnage by parcel</w:t>
            </w:r>
          </w:p>
        </w:tc>
        <w:tc>
          <w:tcPr>
            <w:tcW w:type="dxa" w:w="2340"/>
          </w:tcPr>
          <w:p>
            <w:r/>
            <w:r>
              <w:rPr>
                <w:sz w:val="17"/>
              </w:rPr>
              <w:t>Each member</w:t>
            </w:r>
          </w:p>
        </w:tc>
        <w:tc>
          <w:tcPr>
            <w:tcW w:type="dxa" w:w="2340"/>
          </w:tcPr>
          <w:p>
            <w:r/>
            <w:r>
              <w:rPr>
                <w:sz w:val="17"/>
              </w:rPr>
              <w:t>before harvest</w:t>
            </w:r>
          </w:p>
        </w:tc>
      </w:tr>
      <w:tr>
        <w:tc>
          <w:tcPr>
            <w:tcW w:type="dxa" w:w="2340"/>
          </w:tcPr>
          <w:p>
            <w:r/>
            <w:r>
              <w:rPr>
                <w:sz w:val="17"/>
              </w:rPr>
              <w:t>2</w:t>
            </w:r>
          </w:p>
        </w:tc>
        <w:tc>
          <w:tcPr>
            <w:tcW w:type="dxa" w:w="2340"/>
          </w:tcPr>
          <w:p>
            <w:r/>
            <w:r>
              <w:rPr>
                <w:sz w:val="17"/>
              </w:rPr>
              <w:t>Publish mill pressing slots</w:t>
            </w:r>
          </w:p>
        </w:tc>
        <w:tc>
          <w:tcPr>
            <w:tcW w:type="dxa" w:w="2340"/>
          </w:tcPr>
          <w:p>
            <w:r/>
            <w:r>
              <w:rPr>
                <w:sz w:val="17"/>
              </w:rPr>
              <w:t>Mill manager</w:t>
            </w:r>
          </w:p>
        </w:tc>
        <w:tc>
          <w:tcPr>
            <w:tcW w:type="dxa" w:w="2340"/>
          </w:tcPr>
          <w:p>
            <w:r/>
            <w:r>
              <w:rPr>
                <w:sz w:val="17"/>
              </w:rPr>
              <w:t>late Oct</w:t>
            </w:r>
          </w:p>
        </w:tc>
      </w:tr>
      <w:tr>
        <w:tc>
          <w:tcPr>
            <w:tcW w:type="dxa" w:w="2340"/>
          </w:tcPr>
          <w:p>
            <w:r/>
            <w:r>
              <w:rPr>
                <w:sz w:val="17"/>
              </w:rPr>
              <w:t>3</w:t>
            </w:r>
          </w:p>
        </w:tc>
        <w:tc>
          <w:tcPr>
            <w:tcW w:type="dxa" w:w="2340"/>
          </w:tcPr>
          <w:p>
            <w:r/>
            <w:r>
              <w:rPr>
                <w:sz w:val="17"/>
              </w:rPr>
              <w:t>Draft centralised organic doc pack</w:t>
            </w:r>
          </w:p>
        </w:tc>
        <w:tc>
          <w:tcPr>
            <w:tcW w:type="dxa" w:w="2340"/>
          </w:tcPr>
          <w:p>
            <w:r/>
            <w:r>
              <w:rPr>
                <w:sz w:val="17"/>
              </w:rPr>
              <w:t>Board</w:t>
            </w:r>
          </w:p>
        </w:tc>
        <w:tc>
          <w:tcPr>
            <w:tcW w:type="dxa" w:w="2340"/>
          </w:tcPr>
          <w:p>
            <w:r/>
            <w:r>
              <w:rPr>
                <w:sz w:val="17"/>
              </w:rPr>
              <w:t>Nov</w:t>
            </w:r>
          </w:p>
        </w:tc>
      </w:tr>
      <w:tr>
        <w:tc>
          <w:tcPr>
            <w:tcW w:type="dxa" w:w="2340"/>
          </w:tcPr>
          <w:p>
            <w:r/>
            <w:r>
              <w:rPr>
                <w:sz w:val="17"/>
              </w:rPr>
              <w:t>4</w:t>
            </w:r>
          </w:p>
        </w:tc>
        <w:tc>
          <w:tcPr>
            <w:tcW w:type="dxa" w:w="2340"/>
          </w:tcPr>
          <w:p>
            <w:r/>
            <w:r>
              <w:rPr>
                <w:sz w:val="17"/>
              </w:rPr>
              <w:t>Confirm provisional pool price</w:t>
            </w:r>
          </w:p>
        </w:tc>
        <w:tc>
          <w:tcPr>
            <w:tcW w:type="dxa" w:w="2340"/>
          </w:tcPr>
          <w:p>
            <w:r/>
            <w:r>
              <w:rPr>
                <w:sz w:val="17"/>
              </w:rPr>
              <w:t>Treasurer</w:t>
            </w:r>
          </w:p>
        </w:tc>
        <w:tc>
          <w:tcPr>
            <w:tcW w:type="dxa" w:w="2340"/>
          </w:tcPr>
          <w:p>
            <w:r/>
            <w:r>
              <w:rPr>
                <w:sz w:val="17"/>
              </w:rPr>
              <w:t>Nov</w:t>
            </w:r>
          </w:p>
        </w:tc>
      </w:tr>
    </w:tbl>
    <w:p>
      <w:pPr>
        <w:spacing w:after="40"/>
      </w:pPr>
    </w:p>
    <w:p>
      <w:pPr>
        <w:spacing w:before="180" w:after="40"/>
      </w:pPr>
      <w:r>
        <w:rPr>
          <w:b/>
          <w:color w:val="5B6B2E"/>
          <w:sz w:val="24"/>
        </w:rPr>
        <w:t>9. Any other business</w:t>
      </w:r>
    </w:p>
    <w:p>
      <w:pPr>
        <w:spacing w:after="80"/>
        <w:jc w:val="both"/>
      </w:pPr>
      <w:r>
        <w:rPr>
          <w:sz w:val="21"/>
        </w:rPr>
        <w:t>Members raised regional water consultation and input purchasing. The cooperative will represent members in the water consultation and explore group input buying to lower per-member cost.</w:t>
      </w:r>
    </w:p>
    <w:p>
      <w:pPr>
        <w:spacing w:before="180" w:after="40"/>
      </w:pPr>
      <w:r>
        <w:rPr>
          <w:b/>
          <w:color w:val="5B6B2E"/>
          <w:sz w:val="24"/>
        </w:rPr>
        <w:t>10. Next meeting</w:t>
      </w:r>
    </w:p>
    <w:p>
      <w:pPr>
        <w:spacing w:after="80"/>
        <w:jc w:val="both"/>
      </w:pPr>
      <w:r>
        <w:rPr>
          <w:sz w:val="21"/>
        </w:rPr>
        <w:t>The next general meeting will follow the season close. The meeting closed at 18:40. These minutes are recorded for the estate file; cooperative figures for this member are in workbook X07.</w:t>
      </w:r>
    </w:p>
    <w:p>
      <w:r>
        <w:br w:type="page"/>
      </w:r>
    </w:p>
    <w:p>
      <w:pPr>
        <w:spacing w:before="180" w:after="40"/>
      </w:pPr>
      <w:r>
        <w:rPr>
          <w:b/>
          <w:color w:val="5B6B2E"/>
          <w:sz w:val="24"/>
        </w:rPr>
        <w:t>11. Attendance (recorded)</w:t>
      </w:r>
    </w:p>
    <w:tbl>
      <w:tblPr>
        <w:tblStyle w:val="TableGrid"/>
        <w:tblW w:type="auto" w:w="0"/>
        <w:jc w:val="center"/>
        <w:tblLook w:firstColumn="1" w:firstRow="1" w:lastColumn="0" w:lastRow="0" w:noHBand="0" w:noVBand="1" w:val="04A0"/>
      </w:tblPr>
      <w:tblGrid>
        <w:gridCol w:w="4680"/>
        <w:gridCol w:w="4680"/>
      </w:tblGrid>
      <w:tr>
        <w:tc>
          <w:tcPr>
            <w:tcW w:type="dxa" w:w="4680"/>
            <w:shd w:val="clear" w:fill="5B6B2E"/>
          </w:tcPr>
          <w:p>
            <w:r>
              <w:rPr>
                <w:b/>
                <w:color w:val="FFFFFF"/>
              </w:rPr>
            </w:r>
            <w:r>
              <w:rPr>
                <w:b/>
                <w:color w:val="FFFFFF"/>
                <w:sz w:val="17"/>
              </w:rPr>
              <w:t>Role</w:t>
            </w:r>
          </w:p>
        </w:tc>
        <w:tc>
          <w:tcPr>
            <w:tcW w:type="dxa" w:w="4680"/>
            <w:shd w:val="clear" w:fill="5B6B2E"/>
          </w:tcPr>
          <w:p>
            <w:r>
              <w:rPr>
                <w:b/>
                <w:color w:val="FFFFFF"/>
              </w:rPr>
            </w:r>
            <w:r>
              <w:rPr>
                <w:b/>
                <w:color w:val="FFFFFF"/>
                <w:sz w:val="17"/>
              </w:rPr>
              <w:t>Present</w:t>
            </w:r>
          </w:p>
        </w:tc>
      </w:tr>
      <w:tr>
        <w:tc>
          <w:tcPr>
            <w:tcW w:type="dxa" w:w="4680"/>
          </w:tcPr>
          <w:p>
            <w:r/>
            <w:r>
              <w:rPr>
                <w:sz w:val="17"/>
              </w:rPr>
              <w:t>President</w:t>
            </w:r>
          </w:p>
        </w:tc>
        <w:tc>
          <w:tcPr>
            <w:tcW w:type="dxa" w:w="4680"/>
          </w:tcPr>
          <w:p>
            <w:r/>
            <w:r>
              <w:rPr>
                <w:sz w:val="17"/>
              </w:rPr>
              <w:t>Isabel Morales</w:t>
            </w:r>
          </w:p>
        </w:tc>
      </w:tr>
      <w:tr>
        <w:tc>
          <w:tcPr>
            <w:tcW w:type="dxa" w:w="4680"/>
          </w:tcPr>
          <w:p>
            <w:r/>
            <w:r>
              <w:rPr>
                <w:sz w:val="17"/>
              </w:rPr>
              <w:t>Treasurer</w:t>
            </w:r>
          </w:p>
        </w:tc>
        <w:tc>
          <w:tcPr>
            <w:tcW w:type="dxa" w:w="4680"/>
          </w:tcPr>
          <w:p>
            <w:r/>
            <w:r>
              <w:rPr>
                <w:sz w:val="17"/>
              </w:rPr>
              <w:t>yes</w:t>
            </w:r>
          </w:p>
        </w:tc>
      </w:tr>
      <w:tr>
        <w:tc>
          <w:tcPr>
            <w:tcW w:type="dxa" w:w="4680"/>
          </w:tcPr>
          <w:p>
            <w:r/>
            <w:r>
              <w:rPr>
                <w:sz w:val="17"/>
              </w:rPr>
              <w:t>Mill manager</w:t>
            </w:r>
          </w:p>
        </w:tc>
        <w:tc>
          <w:tcPr>
            <w:tcW w:type="dxa" w:w="4680"/>
          </w:tcPr>
          <w:p>
            <w:r/>
            <w:r>
              <w:rPr>
                <w:sz w:val="17"/>
              </w:rPr>
              <w:t>yes</w:t>
            </w:r>
          </w:p>
        </w:tc>
      </w:tr>
      <w:tr>
        <w:tc>
          <w:tcPr>
            <w:tcW w:type="dxa" w:w="4680"/>
          </w:tcPr>
          <w:p>
            <w:r/>
            <w:r>
              <w:rPr>
                <w:sz w:val="17"/>
              </w:rPr>
              <w:t>Technical committee</w:t>
            </w:r>
          </w:p>
        </w:tc>
        <w:tc>
          <w:tcPr>
            <w:tcW w:type="dxa" w:w="4680"/>
          </w:tcPr>
          <w:p>
            <w:r/>
            <w:r>
              <w:rPr>
                <w:sz w:val="17"/>
              </w:rPr>
              <w:t>yes</w:t>
            </w:r>
          </w:p>
        </w:tc>
      </w:tr>
      <w:tr>
        <w:tc>
          <w:tcPr>
            <w:tcW w:type="dxa" w:w="4680"/>
          </w:tcPr>
          <w:p>
            <w:r/>
            <w:r>
              <w:rPr>
                <w:sz w:val="17"/>
              </w:rPr>
              <w:t>Members</w:t>
            </w:r>
          </w:p>
        </w:tc>
        <w:tc>
          <w:tcPr>
            <w:tcW w:type="dxa" w:w="4680"/>
          </w:tcPr>
          <w:p>
            <w:r/>
            <w:r>
              <w:rPr>
                <w:sz w:val="17"/>
              </w:rPr>
              <w:t>quorum met</w:t>
            </w:r>
          </w:p>
        </w:tc>
      </w:tr>
      <w:tr>
        <w:tc>
          <w:tcPr>
            <w:tcW w:type="dxa" w:w="4680"/>
          </w:tcPr>
          <w:p>
            <w:r/>
            <w:r>
              <w:rPr>
                <w:sz w:val="17"/>
              </w:rPr>
              <w:t>This estate</w:t>
            </w:r>
          </w:p>
        </w:tc>
        <w:tc>
          <w:tcPr>
            <w:tcW w:type="dxa" w:w="4680"/>
          </w:tcPr>
          <w:p>
            <w:r/>
            <w:r>
              <w:rPr>
                <w:sz w:val="17"/>
              </w:rPr>
              <w:t>Min Miles Park</w:t>
            </w:r>
          </w:p>
        </w:tc>
      </w:tr>
    </w:tbl>
    <w:p>
      <w:pPr>
        <w:spacing w:after="40"/>
      </w:pPr>
    </w:p>
    <w:p>
      <w:pPr>
        <w:spacing w:before="180" w:after="40"/>
      </w:pPr>
      <w:r>
        <w:rPr>
          <w:b/>
          <w:color w:val="5B6B2E"/>
          <w:sz w:val="24"/>
        </w:rPr>
        <w:t>12. Member follow-up (this estate)</w:t>
      </w:r>
    </w:p>
    <w:tbl>
      <w:tblPr>
        <w:tblStyle w:val="TableGrid"/>
        <w:tblW w:type="auto" w:w="0"/>
        <w:jc w:val="center"/>
        <w:tblLook w:firstColumn="1" w:firstRow="1" w:lastColumn="0" w:lastRow="0" w:noHBand="0" w:noVBand="1" w:val="04A0"/>
      </w:tblPr>
      <w:tblGrid>
        <w:gridCol w:w="3120"/>
        <w:gridCol w:w="3120"/>
        <w:gridCol w:w="3120"/>
      </w:tblGrid>
      <w:tr>
        <w:tc>
          <w:tcPr>
            <w:tcW w:type="dxa" w:w="3120"/>
            <w:shd w:val="clear" w:fill="5B6B2E"/>
          </w:tcPr>
          <w:p>
            <w:r>
              <w:rPr>
                <w:b/>
                <w:color w:val="FFFFFF"/>
              </w:rPr>
            </w:r>
            <w:r>
              <w:rPr>
                <w:b/>
                <w:color w:val="FFFFFF"/>
                <w:sz w:val="17"/>
              </w:rPr>
              <w:t>#</w:t>
            </w:r>
          </w:p>
        </w:tc>
        <w:tc>
          <w:tcPr>
            <w:tcW w:type="dxa" w:w="3120"/>
            <w:shd w:val="clear" w:fill="5B6B2E"/>
          </w:tcPr>
          <w:p>
            <w:r>
              <w:rPr>
                <w:b/>
                <w:color w:val="FFFFFF"/>
              </w:rPr>
            </w:r>
            <w:r>
              <w:rPr>
                <w:b/>
                <w:color w:val="FFFFFF"/>
                <w:sz w:val="17"/>
              </w:rPr>
              <w:t>Follow-up</w:t>
            </w:r>
          </w:p>
        </w:tc>
        <w:tc>
          <w:tcPr>
            <w:tcW w:type="dxa" w:w="3120"/>
            <w:shd w:val="clear" w:fill="5B6B2E"/>
          </w:tcPr>
          <w:p>
            <w:r>
              <w:rPr>
                <w:b/>
                <w:color w:val="FFFFFF"/>
              </w:rPr>
            </w:r>
            <w:r>
              <w:rPr>
                <w:b/>
                <w:color w:val="FFFFFF"/>
                <w:sz w:val="17"/>
              </w:rPr>
              <w:t>By when</w:t>
            </w:r>
          </w:p>
        </w:tc>
      </w:tr>
      <w:tr>
        <w:tc>
          <w:tcPr>
            <w:tcW w:type="dxa" w:w="3120"/>
          </w:tcPr>
          <w:p>
            <w:r/>
            <w:r>
              <w:rPr>
                <w:sz w:val="17"/>
              </w:rPr>
              <w:t>1</w:t>
            </w:r>
          </w:p>
        </w:tc>
        <w:tc>
          <w:tcPr>
            <w:tcW w:type="dxa" w:w="3120"/>
          </w:tcPr>
          <w:p>
            <w:r/>
            <w:r>
              <w:rPr>
                <w:sz w:val="17"/>
              </w:rPr>
              <w:t>Submit tonnage estimate by parcel</w:t>
            </w:r>
          </w:p>
        </w:tc>
        <w:tc>
          <w:tcPr>
            <w:tcW w:type="dxa" w:w="3120"/>
          </w:tcPr>
          <w:p>
            <w:r/>
            <w:r>
              <w:rPr>
                <w:sz w:val="17"/>
              </w:rPr>
              <w:t>before harvest</w:t>
            </w:r>
          </w:p>
        </w:tc>
      </w:tr>
      <w:tr>
        <w:tc>
          <w:tcPr>
            <w:tcW w:type="dxa" w:w="3120"/>
          </w:tcPr>
          <w:p>
            <w:r/>
            <w:r>
              <w:rPr>
                <w:sz w:val="17"/>
              </w:rPr>
              <w:t>2</w:t>
            </w:r>
          </w:p>
        </w:tc>
        <w:tc>
          <w:tcPr>
            <w:tcW w:type="dxa" w:w="3120"/>
          </w:tcPr>
          <w:p>
            <w:r/>
            <w:r>
              <w:rPr>
                <w:sz w:val="17"/>
              </w:rPr>
              <w:t>Flag segregated-press need for east grove</w:t>
            </w:r>
          </w:p>
        </w:tc>
        <w:tc>
          <w:tcPr>
            <w:tcW w:type="dxa" w:w="3120"/>
          </w:tcPr>
          <w:p>
            <w:r/>
            <w:r>
              <w:rPr>
                <w:sz w:val="17"/>
              </w:rPr>
              <w:t>mill scheduling</w:t>
            </w:r>
          </w:p>
        </w:tc>
      </w:tr>
      <w:tr>
        <w:tc>
          <w:tcPr>
            <w:tcW w:type="dxa" w:w="3120"/>
          </w:tcPr>
          <w:p>
            <w:r/>
            <w:r>
              <w:rPr>
                <w:sz w:val="17"/>
              </w:rPr>
              <w:t>3</w:t>
            </w:r>
          </w:p>
        </w:tc>
        <w:tc>
          <w:tcPr>
            <w:tcW w:type="dxa" w:w="3120"/>
          </w:tcPr>
          <w:p>
            <w:r/>
            <w:r>
              <w:rPr>
                <w:sz w:val="17"/>
              </w:rPr>
              <w:t>Confirm dues current (X07)</w:t>
            </w:r>
          </w:p>
        </w:tc>
        <w:tc>
          <w:tcPr>
            <w:tcW w:type="dxa" w:w="3120"/>
          </w:tcPr>
          <w:p>
            <w:r/>
            <w:r>
              <w:rPr>
                <w:sz w:val="17"/>
              </w:rPr>
              <w:t>month-start</w:t>
            </w:r>
          </w:p>
        </w:tc>
      </w:tr>
      <w:tr>
        <w:tc>
          <w:tcPr>
            <w:tcW w:type="dxa" w:w="3120"/>
          </w:tcPr>
          <w:p>
            <w:r/>
            <w:r>
              <w:rPr>
                <w:sz w:val="17"/>
              </w:rPr>
              <w:t>4</w:t>
            </w:r>
          </w:p>
        </w:tc>
        <w:tc>
          <w:tcPr>
            <w:tcW w:type="dxa" w:w="3120"/>
          </w:tcPr>
          <w:p>
            <w:r/>
            <w:r>
              <w:rPr>
                <w:sz w:val="17"/>
              </w:rPr>
              <w:t>Note pool advance rate in cashflow (X05)</w:t>
            </w:r>
          </w:p>
        </w:tc>
        <w:tc>
          <w:tcPr>
            <w:tcW w:type="dxa" w:w="3120"/>
          </w:tcPr>
          <w:p>
            <w:r/>
            <w:r>
              <w:rPr>
                <w:sz w:val="17"/>
              </w:rPr>
              <w:t>on confirmation</w:t>
            </w:r>
          </w:p>
        </w:tc>
      </w:tr>
    </w:tbl>
    <w:p>
      <w:pPr>
        <w:spacing w:after="40"/>
      </w:pPr>
    </w:p>
    <w:p>
      <w:pPr>
        <w:spacing w:before="180" w:after="40"/>
      </w:pPr>
      <w:r>
        <w:rPr>
          <w:b/>
          <w:color w:val="5B6B2E"/>
          <w:sz w:val="24"/>
        </w:rPr>
        <w:t>13. Notes</w:t>
      </w:r>
    </w:p>
    <w:p>
      <w:pPr>
        <w:spacing w:after="80"/>
        <w:jc w:val="both"/>
      </w:pPr>
      <w:r>
        <w:rPr>
          <w:sz w:val="21"/>
        </w:rPr>
        <w:t>Cooperative politics are navigated personally; the estate gathers information and navigates the relationships itself, without taking sides between growers. The estate votes consistently for the small producer in cooperative matters.</w:t>
      </w:r>
    </w:p>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C7666"/>
        <w:sz w:val="15"/>
      </w:rPr>
      <w:t>Cooperativa Oleicola Sierra Morena - Autumn General Meeting Minutes - 2026-10-22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2B28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