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A2A1A"/>
          <w:sz w:val="34"/>
        </w:rPr>
        <w:t>Barolo Estate Profiles</w:t>
      </w:r>
    </w:p>
    <w:p>
      <w:r>
        <w:rPr>
          <w:i/>
          <w:color w:val="666666"/>
          <w:sz w:val="18"/>
        </w:rPr>
        <w:t>Scouting notes for the Italian expansion. Atkins and Associates Fine Wines.</w:t>
      </w:r>
    </w:p>
    <w:p>
      <w:r>
        <w:t>Compiled by Catherine Anne Atkins ahead of the October 2026 Piedmont trip. Six top Barolo estates considered, with Tenuta Marchetti as the lead through Sofia Marchetti. Target is four to five Italian producers across Barolo, Barbaresco, Brunello, and Chianti Classico.</w:t>
      </w:r>
    </w:p>
    <w:p>
      <w:r>
        <w:rPr>
          <w:b/>
          <w:color w:val="5A3A1A"/>
          <w:sz w:val="24"/>
        </w:rPr>
        <w:t>1. Tenuta Marchetti, Barolo</w:t>
      </w:r>
    </w:p>
    <w:p>
      <w:r>
        <w:t>Lead candidate. Contact Sofia Marchetti. Traditional Nebbiolo, single vineyard Barolo and Barbaresco, plus approachable Langhe Nebbiolo and Barbera. Draft agreement in legal review. Sofia will introduce three further estates.</w:t>
      </w:r>
    </w:p>
    <w:p>
      <w:r>
        <w:rPr>
          <w:b/>
          <w:color w:val="5A3A1A"/>
          <w:sz w:val="24"/>
        </w:rPr>
        <w:t>2. Cascina Valle, La Morra</w:t>
      </w:r>
    </w:p>
    <w:p>
      <w:r>
        <w:t>Polished, fruit forward Barolo from La Morra. Strong by the glass potential. Mid tier FOB pricing. Good fit for restaurant accounts like Bottega.</w:t>
      </w:r>
    </w:p>
    <w:p>
      <w:r>
        <w:rPr>
          <w:b/>
          <w:color w:val="5A3A1A"/>
          <w:sz w:val="24"/>
        </w:rPr>
        <w:t>3. Poderi Serralunga, Serralunga d'Alba</w:t>
      </w:r>
    </w:p>
    <w:p>
      <w:r>
        <w:t>Structured, age worthy Barolo from a powerful commune. Higher price point. A reserve list wine for Le Jardin Dore and David Kim.</w:t>
      </w:r>
    </w:p>
    <w:p>
      <w:r>
        <w:rPr>
          <w:b/>
          <w:color w:val="5A3A1A"/>
          <w:sz w:val="24"/>
        </w:rPr>
        <w:t>4. Tenuta Boscareto, Castiglione Falletto</w:t>
      </w:r>
    </w:p>
    <w:p>
      <w:r>
        <w:t>Elegant, balanced style. Limited production, allocation would be small. Worth a visit but capacity is a question.</w:t>
      </w:r>
    </w:p>
    <w:p>
      <w:r>
        <w:rPr>
          <w:b/>
          <w:color w:val="5A3A1A"/>
          <w:sz w:val="24"/>
        </w:rPr>
        <w:t>5. Vigna Antica, Monforte d'Alba</w:t>
      </w:r>
    </w:p>
    <w:p>
      <w:r>
        <w:t>Bold, traditional Monforte Barolo. Excellent quality, but the estate already has a United States importer in a neighboring market. Exclusivity radius to clarify.</w:t>
      </w:r>
    </w:p>
    <w:p>
      <w:r>
        <w:rPr>
          <w:b/>
          <w:color w:val="5A3A1A"/>
          <w:sz w:val="24"/>
        </w:rPr>
        <w:t>6. Cantina Rivalta, Barolo village</w:t>
      </w:r>
    </w:p>
    <w:p>
      <w:r>
        <w:t>Newer project, modern cellar, fair pricing. Promising but young. Keep as a second wave option once the core program is established.</w:t>
      </w:r>
    </w:p>
    <w:p>
      <w:r>
        <w:rPr>
          <w:b/>
          <w:color w:val="5A3A1A"/>
          <w:sz w:val="24"/>
        </w:rPr>
        <w:t>Recommendation</w:t>
      </w:r>
    </w:p>
    <w:p>
      <w:r>
        <w:t>Confirm Marchetti first, then prioritize Cascina Valle and Poderi Serralunga for range, one approachable and one age worthy. Hold the others pending the trip and attorney Richard Stein's review of exclusivity terms. Watch the European tariff picture closely before committing volume.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