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The Safety Equation</w:t>
      </w:r>
    </w:p>
    <w:p>
      <w:r>
        <w:rPr>
          <w:b/>
          <w:sz w:val="24"/>
        </w:rPr>
        <w:t>Chapter One: The Cost of Silence</w:t>
      </w:r>
    </w:p>
    <w:p>
      <w:r>
        <w:t>The most expensive meeting in any company is the one where everyone agrees and no one means it. I have sat in hundreds of those rooms. The body language tells the truth the minutes never record. Arms fold. Eyes drop to phones. The senior voice in the room finishes a thought and a ring of careful nods closes around it. Nobody pushes. Nobody asks the question that three people are silently holding. And six weeks later the project that everyone privately doubted fails in exactly the way they doubted it.</w:t>
      </w:r>
    </w:p>
    <w:p>
      <w:r>
        <w:t>I spent the first decade of my career believing that silence was a personality problem. Some people speak up, some people do not, and a good leader simply recruits more of the first kind. I was wrong, and the research that changed my mind is the spine of this book. Silence is not a trait. It is a calculation. People run the math constantly, and the math is simple. What does it cost me to say the hard thing, and what is the chance it changes anything. When the cost is high and the odds are low, smart people stay quiet. They are not disengaged. They are protecting themselves from a system that has taught them what speaking up earns.</w:t>
      </w:r>
    </w:p>
    <w:p>
      <w:r>
        <w:t>Psychological safety is the name we give to the conditions that change that calculation. It is not comfort, and it is not the absence of conflict. A psychologically safe team argues more, not less. What changes is the consequence of the argument. When a member of the team can say the unfinished idea, name the risk, or admit the mistake without being punished for it, the information that was trapped inside individual heads finally reaches the table where decisions are made.</w:t>
      </w:r>
    </w:p>
    <w:p>
      <w:r>
        <w:t>This is the part that earns the eye roll from executives who think this is soft. So let me be direct about the money. A team that surfaces a flawed assumption in week two has saved the cost of discovering it in month six. A nurse who flags a medication error without fear of blame has prevented a harm event and the settlement that follows it. An engineer who says the deadline is not real has saved the company from shipping the thing that breaks. None of that is soft. It is the hardest currency a business has, which is accurate information arriving in time to act on it.</w:t>
      </w:r>
    </w:p>
    <w:p>
      <w:r>
        <w:t>Across the chapters that follow I will give you the four signals that tell a team whether it is safe to speak, the specific behaviors that leaders use to send those signals, and the measures that let you track all of it on a dashboard your finance chief will respect. But it starts here, with the meeting where everyone agreed. Learn to hear that silence, and you have found the cheapest performance gain available to any leader.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Brock</dc:creator>
  <cp:keywords/>
  <dc:description/>
  <cp:lastModifiedBy>Jordan Brock</cp:lastModifiedBy>
  <cp:revision>2</cp:revision>
  <dcterms:created xsi:type="dcterms:W3CDTF">2026-02-20T09:15:00Z</dcterms:created>
  <dcterms:modified xsi:type="dcterms:W3CDTF">2026-02-20T09:15:00Z</dcterms:modified>
  <cp:category/>
</cp:coreProperties>
</file>