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2A2622"/>
          <w:sz w:val="34"/>
        </w:rPr>
        <w:t>Recommender Brief and Application Strategy</w:t>
      </w:r>
    </w:p>
    <w:p>
      <w:pPr>
        <w:spacing w:after="160" w:before="0"/>
        <w:jc w:val="center"/>
      </w:pPr>
      <w:r>
        <w:rPr>
          <w:rFonts w:ascii="Calibri" w:hAnsi="Calibri"/>
          <w:b w:val="0"/>
          <w:i w:val="0"/>
          <w:color w:val="7C7466"/>
          <w:sz w:val="21"/>
        </w:rPr>
        <w:t>Prepared by Allen Weber for recommenders and personal planning</w:t>
      </w:r>
    </w:p>
    <w:p>
      <w:pPr>
        <w:spacing w:before="180" w:after="60"/>
      </w:pPr>
      <w:r>
        <w:rPr>
          <w:rFonts w:ascii="Calibri" w:hAnsi="Calibri"/>
          <w:b/>
          <w:i w:val="0"/>
          <w:color w:val="7A3B2E"/>
          <w:sz w:val="26"/>
        </w:rPr>
        <w:t>1. Purpose</w:t>
      </w:r>
    </w:p>
    <w:p>
      <w:pPr>
        <w:spacing w:after="80" w:before="0"/>
      </w:pPr>
      <w:r>
        <w:rPr>
          <w:rFonts w:ascii="Calibri" w:hAnsi="Calibri"/>
          <w:b w:val="0"/>
          <w:i w:val="0"/>
          <w:color w:val="2A2622"/>
          <w:sz w:val="21"/>
        </w:rPr>
        <w:t>This brief gives my two recommenders, Prof. Lena Marsh and Dr. James Whitmore, the context to write strong, specific letters without having to reconstruct my record from memory. It also serves as my own strategy document across the four programs. The application tracker is workbook X03.</w:t>
      </w:r>
    </w:p>
    <w:p>
      <w:pPr>
        <w:spacing w:before="180" w:after="60"/>
      </w:pPr>
      <w:r>
        <w:rPr>
          <w:rFonts w:ascii="Calibri" w:hAnsi="Calibri"/>
          <w:b/>
          <w:i w:val="0"/>
          <w:color w:val="7A3B2E"/>
          <w:sz w:val="26"/>
        </w:rPr>
        <w:t>2. Snapshot</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fill="7A3B2E"/>
          </w:tcPr>
          <w:p>
            <w:r/>
            <w:r>
              <w:rPr>
                <w:rFonts w:ascii="Calibri" w:hAnsi="Calibri"/>
                <w:b/>
                <w:i w:val="0"/>
                <w:color w:val="FFFFFF"/>
                <w:sz w:val="18"/>
              </w:rPr>
              <w:t>Field</w:t>
            </w:r>
          </w:p>
        </w:tc>
        <w:tc>
          <w:tcPr>
            <w:tcW w:type="dxa" w:w="4824"/>
            <w:shd w:val="clear" w:fill="7A3B2E"/>
          </w:tcPr>
          <w:p>
            <w:r/>
            <w:r>
              <w:rPr>
                <w:rFonts w:ascii="Calibri" w:hAnsi="Calibri"/>
                <w:b/>
                <w:i w:val="0"/>
                <w:color w:val="FFFFFF"/>
                <w:sz w:val="18"/>
              </w:rPr>
              <w:t>Detail</w:t>
            </w:r>
          </w:p>
        </w:tc>
      </w:tr>
      <w:tr>
        <w:tc>
          <w:tcPr>
            <w:tcW w:type="dxa" w:w="4824"/>
          </w:tcPr>
          <w:p>
            <w:r/>
            <w:r>
              <w:rPr>
                <w:rFonts w:ascii="Calibri" w:hAnsi="Calibri"/>
                <w:b w:val="0"/>
                <w:i w:val="0"/>
                <w:color w:val="2A2622"/>
                <w:sz w:val="18"/>
              </w:rPr>
              <w:t>Degree</w:t>
            </w:r>
          </w:p>
        </w:tc>
        <w:tc>
          <w:tcPr>
            <w:tcW w:type="dxa" w:w="4824"/>
          </w:tcPr>
          <w:p>
            <w:r/>
            <w:r>
              <w:rPr>
                <w:rFonts w:ascii="Calibri" w:hAnsi="Calibri"/>
                <w:b w:val="0"/>
                <w:i w:val="0"/>
                <w:color w:val="2A2622"/>
                <w:sz w:val="18"/>
              </w:rPr>
              <w:t>B.A. Political Science, Data Analytics minor</w:t>
            </w:r>
          </w:p>
        </w:tc>
      </w:tr>
      <w:tr>
        <w:tc>
          <w:tcPr>
            <w:tcW w:type="dxa" w:w="4824"/>
          </w:tcPr>
          <w:p>
            <w:r/>
            <w:r>
              <w:rPr>
                <w:rFonts w:ascii="Calibri" w:hAnsi="Calibri"/>
                <w:b w:val="0"/>
                <w:i w:val="0"/>
                <w:color w:val="2A2622"/>
                <w:sz w:val="18"/>
              </w:rPr>
              <w:t>Graduation</w:t>
            </w:r>
          </w:p>
        </w:tc>
        <w:tc>
          <w:tcPr>
            <w:tcW w:type="dxa" w:w="4824"/>
          </w:tcPr>
          <w:p>
            <w:r/>
            <w:r>
              <w:rPr>
                <w:rFonts w:ascii="Calibri" w:hAnsi="Calibri"/>
                <w:b w:val="0"/>
                <w:i w:val="0"/>
                <w:color w:val="2A2622"/>
                <w:sz w:val="18"/>
              </w:rPr>
              <w:t>2028-05-15</w:t>
            </w:r>
          </w:p>
        </w:tc>
      </w:tr>
      <w:tr>
        <w:tc>
          <w:tcPr>
            <w:tcW w:type="dxa" w:w="4824"/>
          </w:tcPr>
          <w:p>
            <w:r/>
            <w:r>
              <w:rPr>
                <w:rFonts w:ascii="Calibri" w:hAnsi="Calibri"/>
                <w:b w:val="0"/>
                <w:i w:val="0"/>
                <w:color w:val="2A2622"/>
                <w:sz w:val="18"/>
              </w:rPr>
              <w:t>GPA</w:t>
            </w:r>
          </w:p>
        </w:tc>
        <w:tc>
          <w:tcPr>
            <w:tcW w:type="dxa" w:w="4824"/>
          </w:tcPr>
          <w:p>
            <w:r/>
            <w:r>
              <w:rPr>
                <w:rFonts w:ascii="Calibri" w:hAnsi="Calibri"/>
                <w:b w:val="0"/>
                <w:i w:val="0"/>
                <w:color w:val="2A2622"/>
                <w:sz w:val="18"/>
              </w:rPr>
              <w:t>3.78 cumulative</w:t>
            </w:r>
          </w:p>
        </w:tc>
      </w:tr>
      <w:tr>
        <w:tc>
          <w:tcPr>
            <w:tcW w:type="dxa" w:w="4824"/>
          </w:tcPr>
          <w:p>
            <w:r/>
            <w:r>
              <w:rPr>
                <w:rFonts w:ascii="Calibri" w:hAnsi="Calibri"/>
                <w:b w:val="0"/>
                <w:i w:val="0"/>
                <w:color w:val="2A2622"/>
                <w:sz w:val="18"/>
              </w:rPr>
              <w:t>Thesis advisor</w:t>
            </w:r>
          </w:p>
        </w:tc>
        <w:tc>
          <w:tcPr>
            <w:tcW w:type="dxa" w:w="4824"/>
          </w:tcPr>
          <w:p>
            <w:r/>
            <w:r>
              <w:rPr>
                <w:rFonts w:ascii="Calibri" w:hAnsi="Calibri"/>
                <w:b w:val="0"/>
                <w:i w:val="0"/>
                <w:color w:val="2A2622"/>
                <w:sz w:val="18"/>
              </w:rPr>
              <w:t>Prof. Lena Marsh</w:t>
            </w:r>
          </w:p>
        </w:tc>
      </w:tr>
      <w:tr>
        <w:tc>
          <w:tcPr>
            <w:tcW w:type="dxa" w:w="4824"/>
          </w:tcPr>
          <w:p>
            <w:r/>
            <w:r>
              <w:rPr>
                <w:rFonts w:ascii="Calibri" w:hAnsi="Calibri"/>
                <w:b w:val="0"/>
                <w:i w:val="0"/>
                <w:color w:val="2A2622"/>
                <w:sz w:val="18"/>
              </w:rPr>
              <w:t>Summer</w:t>
            </w:r>
          </w:p>
        </w:tc>
        <w:tc>
          <w:tcPr>
            <w:tcW w:type="dxa" w:w="4824"/>
          </w:tcPr>
          <w:p>
            <w:r/>
            <w:r>
              <w:rPr>
                <w:rFonts w:ascii="Calibri" w:hAnsi="Calibri"/>
                <w:b w:val="0"/>
                <w:i w:val="0"/>
                <w:color w:val="2A2622"/>
                <w:sz w:val="18"/>
              </w:rPr>
              <w:t>Whitfield Research Fellow (P01)</w:t>
            </w:r>
          </w:p>
        </w:tc>
      </w:tr>
    </w:tbl>
    <w:p>
      <w:pPr>
        <w:spacing w:before="180" w:after="60"/>
      </w:pPr>
      <w:r>
        <w:rPr>
          <w:rFonts w:ascii="Calibri" w:hAnsi="Calibri"/>
          <w:b/>
          <w:i w:val="0"/>
          <w:color w:val="7A3B2E"/>
          <w:sz w:val="26"/>
        </w:rPr>
        <w:t>3. The four programs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shd w:val="clear" w:fill="7A3B2E"/>
          </w:tcPr>
          <w:p>
            <w:r/>
            <w:r>
              <w:rPr>
                <w:rFonts w:ascii="Calibri" w:hAnsi="Calibri"/>
                <w:b/>
                <w:i w:val="0"/>
                <w:color w:val="FFFFFF"/>
                <w:sz w:val="18"/>
              </w:rPr>
              <w:t>Program</w:t>
            </w:r>
          </w:p>
        </w:tc>
        <w:tc>
          <w:tcPr>
            <w:tcW w:type="dxa" w:w="2412"/>
            <w:shd w:val="clear" w:fill="7A3B2E"/>
          </w:tcPr>
          <w:p>
            <w:r/>
            <w:r>
              <w:rPr>
                <w:rFonts w:ascii="Calibri" w:hAnsi="Calibri"/>
                <w:b/>
                <w:i w:val="0"/>
                <w:color w:val="FFFFFF"/>
                <w:sz w:val="18"/>
              </w:rPr>
              <w:t>Deadline</w:t>
            </w:r>
          </w:p>
        </w:tc>
        <w:tc>
          <w:tcPr>
            <w:tcW w:type="dxa" w:w="2412"/>
            <w:shd w:val="clear" w:fill="7A3B2E"/>
          </w:tcPr>
          <w:p>
            <w:r/>
            <w:r>
              <w:rPr>
                <w:rFonts w:ascii="Calibri" w:hAnsi="Calibri"/>
                <w:b/>
                <w:i w:val="0"/>
                <w:color w:val="FFFFFF"/>
                <w:sz w:val="18"/>
              </w:rPr>
              <w:t>Type</w:t>
            </w:r>
          </w:p>
        </w:tc>
        <w:tc>
          <w:tcPr>
            <w:tcW w:type="dxa" w:w="2412"/>
            <w:shd w:val="clear" w:fill="7A3B2E"/>
          </w:tcPr>
          <w:p>
            <w:r/>
            <w:r>
              <w:rPr>
                <w:rFonts w:ascii="Calibri" w:hAnsi="Calibri"/>
                <w:b/>
                <w:i w:val="0"/>
                <w:color w:val="FFFFFF"/>
                <w:sz w:val="18"/>
              </w:rPr>
              <w:t>Fee USD</w:t>
            </w:r>
          </w:p>
        </w:tc>
      </w:tr>
      <w:tr>
        <w:tc>
          <w:tcPr>
            <w:tcW w:type="dxa" w:w="2412"/>
          </w:tcPr>
          <w:p>
            <w:r/>
            <w:r>
              <w:rPr>
                <w:rFonts w:ascii="Calibri" w:hAnsi="Calibri"/>
                <w:b w:val="0"/>
                <w:i w:val="0"/>
                <w:color w:val="2A2622"/>
                <w:sz w:val="18"/>
              </w:rPr>
              <w:t>Harvard Kennedy School (MPP)</w:t>
            </w:r>
          </w:p>
        </w:tc>
        <w:tc>
          <w:tcPr>
            <w:tcW w:type="dxa" w:w="2412"/>
          </w:tcPr>
          <w:p>
            <w:r/>
            <w:r>
              <w:rPr>
                <w:rFonts w:ascii="Calibri" w:hAnsi="Calibri"/>
                <w:b w:val="0"/>
                <w:i w:val="0"/>
                <w:color w:val="2A2622"/>
                <w:sz w:val="18"/>
              </w:rPr>
              <w:t>2027-11-14</w:t>
            </w:r>
          </w:p>
        </w:tc>
        <w:tc>
          <w:tcPr>
            <w:tcW w:type="dxa" w:w="2412"/>
          </w:tcPr>
          <w:p>
            <w:r/>
            <w:r>
              <w:rPr>
                <w:rFonts w:ascii="Calibri" w:hAnsi="Calibri"/>
                <w:b w:val="0"/>
                <w:i w:val="0"/>
                <w:color w:val="2A2622"/>
                <w:sz w:val="18"/>
              </w:rPr>
              <w:t>Early action</w:t>
            </w:r>
          </w:p>
        </w:tc>
        <w:tc>
          <w:tcPr>
            <w:tcW w:type="dxa" w:w="2412"/>
          </w:tcPr>
          <w:p>
            <w:r/>
            <w:r>
              <w:rPr>
                <w:rFonts w:ascii="Calibri" w:hAnsi="Calibri"/>
                <w:b w:val="0"/>
                <w:i w:val="0"/>
                <w:color w:val="2A2622"/>
                <w:sz w:val="18"/>
              </w:rPr>
              <w:t>85</w:t>
            </w:r>
          </w:p>
        </w:tc>
      </w:tr>
      <w:tr>
        <w:tc>
          <w:tcPr>
            <w:tcW w:type="dxa" w:w="2412"/>
          </w:tcPr>
          <w:p>
            <w:r/>
            <w:r>
              <w:rPr>
                <w:rFonts w:ascii="Calibri" w:hAnsi="Calibri"/>
                <w:b w:val="0"/>
                <w:i w:val="0"/>
                <w:color w:val="2A2622"/>
                <w:sz w:val="18"/>
              </w:rPr>
              <w:t>Georgetown McCourt (MPP)</w:t>
            </w:r>
          </w:p>
        </w:tc>
        <w:tc>
          <w:tcPr>
            <w:tcW w:type="dxa" w:w="2412"/>
          </w:tcPr>
          <w:p>
            <w:r/>
            <w:r>
              <w:rPr>
                <w:rFonts w:ascii="Calibri" w:hAnsi="Calibri"/>
                <w:b w:val="0"/>
                <w:i w:val="0"/>
                <w:color w:val="2A2622"/>
                <w:sz w:val="18"/>
              </w:rPr>
              <w:t>2027-11-14</w:t>
            </w:r>
          </w:p>
        </w:tc>
        <w:tc>
          <w:tcPr>
            <w:tcW w:type="dxa" w:w="2412"/>
          </w:tcPr>
          <w:p>
            <w:r/>
            <w:r>
              <w:rPr>
                <w:rFonts w:ascii="Calibri" w:hAnsi="Calibri"/>
                <w:b w:val="0"/>
                <w:i w:val="0"/>
                <w:color w:val="2A2622"/>
                <w:sz w:val="18"/>
              </w:rPr>
              <w:t>Early action</w:t>
            </w:r>
          </w:p>
        </w:tc>
        <w:tc>
          <w:tcPr>
            <w:tcW w:type="dxa" w:w="2412"/>
          </w:tcPr>
          <w:p>
            <w:r/>
            <w:r>
              <w:rPr>
                <w:rFonts w:ascii="Calibri" w:hAnsi="Calibri"/>
                <w:b w:val="0"/>
                <w:i w:val="0"/>
                <w:color w:val="2A2622"/>
                <w:sz w:val="18"/>
              </w:rPr>
              <w:t>90</w:t>
            </w:r>
          </w:p>
        </w:tc>
      </w:tr>
      <w:tr>
        <w:tc>
          <w:tcPr>
            <w:tcW w:type="dxa" w:w="2412"/>
          </w:tcPr>
          <w:p>
            <w:r/>
            <w:r>
              <w:rPr>
                <w:rFonts w:ascii="Calibri" w:hAnsi="Calibri"/>
                <w:b w:val="0"/>
                <w:i w:val="0"/>
                <w:color w:val="2A2622"/>
                <w:sz w:val="18"/>
              </w:rPr>
              <w:t>Tufts Fletcher (MPP)</w:t>
            </w:r>
          </w:p>
        </w:tc>
        <w:tc>
          <w:tcPr>
            <w:tcW w:type="dxa" w:w="2412"/>
          </w:tcPr>
          <w:p>
            <w:r/>
            <w:r>
              <w:rPr>
                <w:rFonts w:ascii="Calibri" w:hAnsi="Calibri"/>
                <w:b w:val="0"/>
                <w:i w:val="0"/>
                <w:color w:val="2A2622"/>
                <w:sz w:val="18"/>
              </w:rPr>
              <w:t>2028-02-01</w:t>
            </w:r>
          </w:p>
        </w:tc>
        <w:tc>
          <w:tcPr>
            <w:tcW w:type="dxa" w:w="2412"/>
          </w:tcPr>
          <w:p>
            <w:r/>
            <w:r>
              <w:rPr>
                <w:rFonts w:ascii="Calibri" w:hAnsi="Calibri"/>
                <w:b w:val="0"/>
                <w:i w:val="0"/>
                <w:color w:val="2A2622"/>
                <w:sz w:val="18"/>
              </w:rPr>
              <w:t>Regular</w:t>
            </w:r>
          </w:p>
        </w:tc>
        <w:tc>
          <w:tcPr>
            <w:tcW w:type="dxa" w:w="2412"/>
          </w:tcPr>
          <w:p>
            <w:r/>
            <w:r>
              <w:rPr>
                <w:rFonts w:ascii="Calibri" w:hAnsi="Calibri"/>
                <w:b w:val="0"/>
                <w:i w:val="0"/>
                <w:color w:val="2A2622"/>
                <w:sz w:val="18"/>
              </w:rPr>
              <w:t>80</w:t>
            </w:r>
          </w:p>
        </w:tc>
      </w:tr>
      <w:tr>
        <w:tc>
          <w:tcPr>
            <w:tcW w:type="dxa" w:w="2412"/>
          </w:tcPr>
          <w:p>
            <w:r/>
            <w:r>
              <w:rPr>
                <w:rFonts w:ascii="Calibri" w:hAnsi="Calibri"/>
                <w:b w:val="0"/>
                <w:i w:val="0"/>
                <w:color w:val="2A2622"/>
                <w:sz w:val="18"/>
              </w:rPr>
              <w:t>Johns Hopkins SAIS (MPP)</w:t>
            </w:r>
          </w:p>
        </w:tc>
        <w:tc>
          <w:tcPr>
            <w:tcW w:type="dxa" w:w="2412"/>
          </w:tcPr>
          <w:p>
            <w:r/>
            <w:r>
              <w:rPr>
                <w:rFonts w:ascii="Calibri" w:hAnsi="Calibri"/>
                <w:b w:val="0"/>
                <w:i w:val="0"/>
                <w:color w:val="2A2622"/>
                <w:sz w:val="18"/>
              </w:rPr>
              <w:t>2028-02-01</w:t>
            </w:r>
          </w:p>
        </w:tc>
        <w:tc>
          <w:tcPr>
            <w:tcW w:type="dxa" w:w="2412"/>
          </w:tcPr>
          <w:p>
            <w:r/>
            <w:r>
              <w:rPr>
                <w:rFonts w:ascii="Calibri" w:hAnsi="Calibri"/>
                <w:b w:val="0"/>
                <w:i w:val="0"/>
                <w:color w:val="2A2622"/>
                <w:sz w:val="18"/>
              </w:rPr>
              <w:t>Regular</w:t>
            </w:r>
          </w:p>
        </w:tc>
        <w:tc>
          <w:tcPr>
            <w:tcW w:type="dxa" w:w="2412"/>
          </w:tcPr>
          <w:p>
            <w:r/>
            <w:r>
              <w:rPr>
                <w:rFonts w:ascii="Calibri" w:hAnsi="Calibri"/>
                <w:b w:val="0"/>
                <w:i w:val="0"/>
                <w:color w:val="2A2622"/>
                <w:sz w:val="18"/>
              </w:rPr>
              <w:t>75</w:t>
            </w:r>
          </w:p>
        </w:tc>
      </w:tr>
    </w:tbl>
    <w:p>
      <w:r>
        <w:br w:type="page"/>
      </w:r>
    </w:p>
    <w:p>
      <w:pPr>
        <w:spacing w:before="180" w:after="60"/>
      </w:pPr>
      <w:r>
        <w:rPr>
          <w:rFonts w:ascii="Calibri" w:hAnsi="Calibri"/>
          <w:b/>
          <w:i w:val="0"/>
          <w:color w:val="7A3B2E"/>
          <w:sz w:val="26"/>
        </w:rPr>
        <w:t>4. Talking points for letters</w:t>
      </w:r>
    </w:p>
    <w:p>
      <w:pPr>
        <w:spacing w:after="80" w:before="0"/>
      </w:pPr>
      <w:r>
        <w:rPr>
          <w:rFonts w:ascii="Calibri" w:hAnsi="Calibri"/>
          <w:b w:val="0"/>
          <w:i w:val="0"/>
          <w:color w:val="2A2622"/>
          <w:sz w:val="21"/>
        </w:rPr>
        <w:t>If it helps, here are the things I would most want a letter to speak to. Use whatever fits your view of my work; please do not feel bound by this list.</w:t>
      </w:r>
    </w:p>
    <w:p>
      <w:pPr>
        <w:pStyle w:val="ListBullet"/>
        <w:spacing w:after="40"/>
      </w:pPr>
      <w:r>
        <w:rPr>
          <w:rFonts w:ascii="Calibri" w:hAnsi="Calibri"/>
          <w:b w:val="0"/>
          <w:i w:val="0"/>
          <w:color w:val="2A2622"/>
          <w:sz w:val="21"/>
        </w:rPr>
        <w:t>Research maturity: my willingness to report an uncomfortable null result honestly.</w:t>
      </w:r>
    </w:p>
    <w:p>
      <w:pPr>
        <w:pStyle w:val="ListBullet"/>
        <w:spacing w:after="40"/>
      </w:pPr>
      <w:r>
        <w:rPr>
          <w:rFonts w:ascii="Calibri" w:hAnsi="Calibri"/>
          <w:b w:val="0"/>
          <w:i w:val="0"/>
          <w:color w:val="2A2622"/>
          <w:sz w:val="21"/>
        </w:rPr>
        <w:t>Methods: working fluency in R and Python and a habit of reproducible analysis.</w:t>
      </w:r>
    </w:p>
    <w:p>
      <w:pPr>
        <w:pStyle w:val="ListBullet"/>
        <w:spacing w:after="40"/>
      </w:pPr>
      <w:r>
        <w:rPr>
          <w:rFonts w:ascii="Calibri" w:hAnsi="Calibri"/>
          <w:b w:val="0"/>
          <w:i w:val="0"/>
          <w:color w:val="2A2622"/>
          <w:sz w:val="21"/>
        </w:rPr>
        <w:t>Field translation: turning a displacement question into a tool a board can use.</w:t>
      </w:r>
    </w:p>
    <w:p>
      <w:pPr>
        <w:pStyle w:val="ListBullet"/>
        <w:spacing w:after="40"/>
      </w:pPr>
      <w:r>
        <w:rPr>
          <w:rFonts w:ascii="Calibri" w:hAnsi="Calibri"/>
          <w:b w:val="0"/>
          <w:i w:val="0"/>
          <w:color w:val="2A2622"/>
          <w:sz w:val="21"/>
        </w:rPr>
        <w:t>Persistence: carrying the junior paper through to a summer fellowship and a thesis.</w:t>
      </w:r>
    </w:p>
    <w:p>
      <w:pPr>
        <w:spacing w:before="180" w:after="60"/>
      </w:pPr>
      <w:r>
        <w:rPr>
          <w:rFonts w:ascii="Calibri" w:hAnsi="Calibri"/>
          <w:b/>
          <w:i w:val="0"/>
          <w:color w:val="7A3B2E"/>
          <w:sz w:val="26"/>
        </w:rPr>
        <w:t>5. What each letter could emphasize</w:t>
      </w:r>
    </w:p>
    <w:p>
      <w:pPr>
        <w:spacing w:after="80" w:before="0"/>
      </w:pPr>
      <w:r>
        <w:rPr>
          <w:rFonts w:ascii="Calibri" w:hAnsi="Calibri"/>
          <w:b/>
          <w:i w:val="0"/>
          <w:color w:val="2A2622"/>
          <w:sz w:val="21"/>
        </w:rPr>
        <w:t>Prof. Lena Marsh, as my advisor and thesis supervisor</w:t>
      </w:r>
    </w:p>
    <w:p>
      <w:pPr>
        <w:pStyle w:val="ListBullet"/>
        <w:spacing w:after="40"/>
      </w:pPr>
      <w:r>
        <w:rPr>
          <w:rFonts w:ascii="Calibri" w:hAnsi="Calibri"/>
          <w:b w:val="0"/>
          <w:i w:val="0"/>
          <w:color w:val="2A2622"/>
          <w:sz w:val="21"/>
        </w:rPr>
        <w:t>The arc from proposal to interim chapter and how I take feedback.</w:t>
      </w:r>
    </w:p>
    <w:p>
      <w:pPr>
        <w:pStyle w:val="ListBullet"/>
        <w:spacing w:after="40"/>
      </w:pPr>
      <w:r>
        <w:rPr>
          <w:rFonts w:ascii="Calibri" w:hAnsi="Calibri"/>
          <w:b w:val="0"/>
          <w:i w:val="0"/>
          <w:color w:val="2A2622"/>
          <w:sz w:val="21"/>
        </w:rPr>
        <w:t>My judgment about the identification strategy and its limits.</w:t>
      </w:r>
    </w:p>
    <w:p>
      <w:pPr>
        <w:spacing w:after="80" w:before="0"/>
      </w:pPr>
      <w:r>
        <w:rPr>
          <w:rFonts w:ascii="Calibri" w:hAnsi="Calibri"/>
          <w:b/>
          <w:i w:val="0"/>
          <w:color w:val="2A2622"/>
          <w:sz w:val="21"/>
        </w:rPr>
        <w:t>Dr. James Whitmore, as my junior paper supervisor</w:t>
      </w:r>
    </w:p>
    <w:p>
      <w:pPr>
        <w:pStyle w:val="ListBullet"/>
        <w:spacing w:after="40"/>
      </w:pPr>
      <w:r>
        <w:rPr>
          <w:rFonts w:ascii="Calibri" w:hAnsi="Calibri"/>
          <w:b w:val="0"/>
          <w:i w:val="0"/>
          <w:color w:val="2A2622"/>
          <w:sz w:val="21"/>
        </w:rPr>
        <w:t>The quality of the junior research paper and its honest limitations.</w:t>
      </w:r>
    </w:p>
    <w:p>
      <w:pPr>
        <w:pStyle w:val="ListBullet"/>
        <w:spacing w:after="40"/>
      </w:pPr>
      <w:r>
        <w:rPr>
          <w:rFonts w:ascii="Calibri" w:hAnsi="Calibri"/>
          <w:b w:val="0"/>
          <w:i w:val="0"/>
          <w:color w:val="2A2622"/>
          <w:sz w:val="21"/>
        </w:rPr>
        <w:t>How my methods improved across the project.</w:t>
      </w:r>
    </w:p>
    <w:p>
      <w:pPr>
        <w:spacing w:before="180" w:after="60"/>
      </w:pPr>
      <w:r>
        <w:rPr>
          <w:rFonts w:ascii="Calibri" w:hAnsi="Calibri"/>
          <w:b/>
          <w:i w:val="0"/>
          <w:color w:val="7A3B2E"/>
          <w:sz w:val="26"/>
        </w:rPr>
        <w:t>6. Logistics</w:t>
      </w:r>
    </w:p>
    <w:p>
      <w:pPr>
        <w:pStyle w:val="ListBullet"/>
        <w:spacing w:after="40"/>
      </w:pPr>
      <w:r>
        <w:rPr>
          <w:rFonts w:ascii="Calibri" w:hAnsi="Calibri"/>
          <w:b w:val="0"/>
          <w:i w:val="0"/>
          <w:color w:val="2A2622"/>
          <w:sz w:val="21"/>
        </w:rPr>
        <w:t>Both early-action programs are due 2027-11-14; the regular programs are due 2028-02-01.</w:t>
      </w:r>
    </w:p>
    <w:p>
      <w:pPr>
        <w:pStyle w:val="ListBullet"/>
        <w:spacing w:after="40"/>
      </w:pPr>
      <w:r>
        <w:rPr>
          <w:rFonts w:ascii="Calibri" w:hAnsi="Calibri"/>
          <w:b w:val="0"/>
          <w:i w:val="0"/>
          <w:color w:val="2A2622"/>
          <w:sz w:val="21"/>
        </w:rPr>
        <w:t>Each program collects letters through its own portal link, sent to you directly.</w:t>
      </w:r>
    </w:p>
    <w:p>
      <w:pPr>
        <w:pStyle w:val="ListBullet"/>
        <w:spacing w:after="40"/>
      </w:pPr>
      <w:r>
        <w:rPr>
          <w:rFonts w:ascii="Calibri" w:hAnsi="Calibri"/>
          <w:b w:val="0"/>
          <w:i w:val="0"/>
          <w:color w:val="2A2622"/>
          <w:sz w:val="21"/>
        </w:rPr>
        <w:t>I will send a reminder one week before each deadline, no sooner unless you prefer.</w:t>
      </w:r>
    </w:p>
    <w:p>
      <w:r>
        <w:br w:type="page"/>
      </w:r>
    </w:p>
    <w:p>
      <w:pPr>
        <w:spacing w:before="180" w:after="60"/>
      </w:pPr>
      <w:r>
        <w:rPr>
          <w:rFonts w:ascii="Calibri" w:hAnsi="Calibri"/>
          <w:b/>
          <w:i w:val="0"/>
          <w:color w:val="7A3B2E"/>
          <w:sz w:val="26"/>
        </w:rPr>
        <w:t>7. Statement strategy</w:t>
      </w:r>
    </w:p>
    <w:p>
      <w:pPr>
        <w:spacing w:after="80" w:before="0"/>
      </w:pPr>
      <w:r>
        <w:rPr>
          <w:rFonts w:ascii="Calibri" w:hAnsi="Calibri"/>
          <w:b w:val="0"/>
          <w:i w:val="0"/>
          <w:color w:val="2A2622"/>
          <w:sz w:val="21"/>
        </w:rPr>
        <w:t>The statement shares a common root, the kitchen-table origin and the displacement research, then tailors the final third to each program. The HKS version is drafted (D01). Word limits differ by program and are tracked in workbook X03, so I will not submit the long version where a shorter one is required.</w:t>
      </w:r>
    </w:p>
    <w:p>
      <w:pPr>
        <w:spacing w:before="180" w:after="60"/>
      </w:pPr>
      <w:r>
        <w:rPr>
          <w:rFonts w:ascii="Calibri" w:hAnsi="Calibri"/>
          <w:b/>
          <w:i w:val="0"/>
          <w:color w:val="7A3B2E"/>
          <w:sz w:val="26"/>
        </w:rPr>
        <w:t>8. Timeline for myself</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fill="7A3B2E"/>
          </w:tcPr>
          <w:p>
            <w:r/>
            <w:r>
              <w:rPr>
                <w:rFonts w:ascii="Calibri" w:hAnsi="Calibri"/>
                <w:b/>
                <w:i w:val="0"/>
                <w:color w:val="FFFFFF"/>
                <w:sz w:val="18"/>
              </w:rPr>
              <w:t>Window</w:t>
            </w:r>
          </w:p>
        </w:tc>
        <w:tc>
          <w:tcPr>
            <w:tcW w:type="dxa" w:w="4824"/>
            <w:shd w:val="clear" w:fill="7A3B2E"/>
          </w:tcPr>
          <w:p>
            <w:r/>
            <w:r>
              <w:rPr>
                <w:rFonts w:ascii="Calibri" w:hAnsi="Calibri"/>
                <w:b/>
                <w:i w:val="0"/>
                <w:color w:val="FFFFFF"/>
                <w:sz w:val="18"/>
              </w:rPr>
              <w:t>Focus</w:t>
            </w:r>
          </w:p>
        </w:tc>
      </w:tr>
      <w:tr>
        <w:tc>
          <w:tcPr>
            <w:tcW w:type="dxa" w:w="4824"/>
          </w:tcPr>
          <w:p>
            <w:r/>
            <w:r>
              <w:rPr>
                <w:rFonts w:ascii="Calibri" w:hAnsi="Calibri"/>
                <w:b w:val="0"/>
                <w:i w:val="0"/>
                <w:color w:val="2A2622"/>
                <w:sz w:val="18"/>
              </w:rPr>
              <w:t>September</w:t>
            </w:r>
          </w:p>
        </w:tc>
        <w:tc>
          <w:tcPr>
            <w:tcW w:type="dxa" w:w="4824"/>
          </w:tcPr>
          <w:p>
            <w:r/>
            <w:r>
              <w:rPr>
                <w:rFonts w:ascii="Calibri" w:hAnsi="Calibri"/>
                <w:b w:val="0"/>
                <w:i w:val="0"/>
                <w:color w:val="2A2622"/>
                <w:sz w:val="18"/>
              </w:rPr>
              <w:t>Common root statement, CV final (D03)</w:t>
            </w:r>
          </w:p>
        </w:tc>
      </w:tr>
      <w:tr>
        <w:tc>
          <w:tcPr>
            <w:tcW w:type="dxa" w:w="4824"/>
          </w:tcPr>
          <w:p>
            <w:r/>
            <w:r>
              <w:rPr>
                <w:rFonts w:ascii="Calibri" w:hAnsi="Calibri"/>
                <w:b w:val="0"/>
                <w:i w:val="0"/>
                <w:color w:val="2A2622"/>
                <w:sz w:val="18"/>
              </w:rPr>
              <w:t>Early October</w:t>
            </w:r>
          </w:p>
        </w:tc>
        <w:tc>
          <w:tcPr>
            <w:tcW w:type="dxa" w:w="4824"/>
          </w:tcPr>
          <w:p>
            <w:r/>
            <w:r>
              <w:rPr>
                <w:rFonts w:ascii="Calibri" w:hAnsi="Calibri"/>
                <w:b w:val="0"/>
                <w:i w:val="0"/>
                <w:color w:val="2A2622"/>
                <w:sz w:val="18"/>
              </w:rPr>
              <w:t>Program-tailored statements</w:t>
            </w:r>
          </w:p>
        </w:tc>
      </w:tr>
      <w:tr>
        <w:tc>
          <w:tcPr>
            <w:tcW w:type="dxa" w:w="4824"/>
          </w:tcPr>
          <w:p>
            <w:r/>
            <w:r>
              <w:rPr>
                <w:rFonts w:ascii="Calibri" w:hAnsi="Calibri"/>
                <w:b w:val="0"/>
                <w:i w:val="0"/>
                <w:color w:val="2A2622"/>
                <w:sz w:val="18"/>
              </w:rPr>
              <w:t>Late October</w:t>
            </w:r>
          </w:p>
        </w:tc>
        <w:tc>
          <w:tcPr>
            <w:tcW w:type="dxa" w:w="4824"/>
          </w:tcPr>
          <w:p>
            <w:r/>
            <w:r>
              <w:rPr>
                <w:rFonts w:ascii="Calibri" w:hAnsi="Calibri"/>
                <w:b w:val="0"/>
                <w:i w:val="0"/>
                <w:color w:val="2A2622"/>
                <w:sz w:val="18"/>
              </w:rPr>
              <w:t>Recommender reminders, fee planning</w:t>
            </w:r>
          </w:p>
        </w:tc>
      </w:tr>
      <w:tr>
        <w:tc>
          <w:tcPr>
            <w:tcW w:type="dxa" w:w="4824"/>
          </w:tcPr>
          <w:p>
            <w:r/>
            <w:r>
              <w:rPr>
                <w:rFonts w:ascii="Calibri" w:hAnsi="Calibri"/>
                <w:b w:val="0"/>
                <w:i w:val="0"/>
                <w:color w:val="2A2622"/>
                <w:sz w:val="18"/>
              </w:rPr>
              <w:t>Early November</w:t>
            </w:r>
          </w:p>
        </w:tc>
        <w:tc>
          <w:tcPr>
            <w:tcW w:type="dxa" w:w="4824"/>
          </w:tcPr>
          <w:p>
            <w:r/>
            <w:r>
              <w:rPr>
                <w:rFonts w:ascii="Calibri" w:hAnsi="Calibri"/>
                <w:b w:val="0"/>
                <w:i w:val="0"/>
                <w:color w:val="2A2622"/>
                <w:sz w:val="18"/>
              </w:rPr>
              <w:t>Final polish, portal uploads (manual)</w:t>
            </w:r>
          </w:p>
        </w:tc>
      </w:tr>
      <w:tr>
        <w:tc>
          <w:tcPr>
            <w:tcW w:type="dxa" w:w="4824"/>
          </w:tcPr>
          <w:p>
            <w:r/>
            <w:r>
              <w:rPr>
                <w:rFonts w:ascii="Calibri" w:hAnsi="Calibri"/>
                <w:b w:val="0"/>
                <w:i w:val="0"/>
                <w:color w:val="2A2622"/>
                <w:sz w:val="18"/>
              </w:rPr>
              <w:t>February</w:t>
            </w:r>
          </w:p>
        </w:tc>
        <w:tc>
          <w:tcPr>
            <w:tcW w:type="dxa" w:w="4824"/>
          </w:tcPr>
          <w:p>
            <w:r/>
            <w:r>
              <w:rPr>
                <w:rFonts w:ascii="Calibri" w:hAnsi="Calibri"/>
                <w:b w:val="0"/>
                <w:i w:val="0"/>
                <w:color w:val="2A2622"/>
                <w:sz w:val="18"/>
              </w:rPr>
              <w:t>Regular-decision uploads</w:t>
            </w:r>
          </w:p>
        </w:tc>
      </w:tr>
    </w:tbl>
    <w:p>
      <w:pPr>
        <w:spacing w:before="180" w:after="60"/>
      </w:pPr>
      <w:r>
        <w:rPr>
          <w:rFonts w:ascii="Calibri" w:hAnsi="Calibri"/>
          <w:b/>
          <w:i w:val="0"/>
          <w:color w:val="7A3B2E"/>
          <w:sz w:val="26"/>
        </w:rPr>
        <w:t>9. Thank you</w:t>
      </w:r>
    </w:p>
    <w:p>
      <w:pPr>
        <w:spacing w:after="80" w:before="0"/>
      </w:pPr>
      <w:r>
        <w:rPr>
          <w:rFonts w:ascii="Calibri" w:hAnsi="Calibri"/>
          <w:b w:val="0"/>
          <w:i w:val="0"/>
          <w:color w:val="2A2622"/>
          <w:sz w:val="21"/>
        </w:rPr>
        <w:t>Thank you both. Your time on these letters is the part of the application I cannot do myself, and I do not take it for granted. Tell me what else would make writing them easier and I will get it to you quickly.</w:t>
      </w:r>
    </w:p>
    <w:p>
      <w:r>
        <w:br w:type="page"/>
      </w:r>
    </w:p>
    <w:p>
      <w:pPr>
        <w:spacing w:before="180" w:after="60"/>
      </w:pPr>
      <w:r>
        <w:rPr>
          <w:rFonts w:ascii="Calibri" w:hAnsi="Calibri"/>
          <w:b/>
          <w:i w:val="0"/>
          <w:color w:val="7A3B2E"/>
          <w:sz w:val="26"/>
        </w:rPr>
        <w:t>10. Appendix: program-specific notes</w:t>
      </w:r>
    </w:p>
    <w:p>
      <w:pPr>
        <w:spacing w:after="80" w:before="0"/>
      </w:pPr>
      <w:r>
        <w:rPr>
          <w:rFonts w:ascii="Calibri" w:hAnsi="Calibri"/>
          <w:b w:val="0"/>
          <w:i w:val="0"/>
          <w:color w:val="2A2622"/>
          <w:sz w:val="21"/>
        </w:rPr>
        <w:t>Harvard Kennedy School (MPP) emphasizes analytical rigor and public purpose; my statement leans on the displacement index and the honest null result.</w:t>
      </w:r>
    </w:p>
    <w:p>
      <w:pPr>
        <w:spacing w:after="80" w:before="0"/>
      </w:pPr>
      <w:r>
        <w:rPr>
          <w:rFonts w:ascii="Calibri" w:hAnsi="Calibri"/>
          <w:b w:val="0"/>
          <w:i w:val="0"/>
          <w:color w:val="2A2622"/>
          <w:sz w:val="21"/>
        </w:rPr>
        <w:t>Georgetown McCourt (MPP) is policy and management focused in a Washington setting; my statement leans on field translation and the housing coalition placement.</w:t>
      </w:r>
    </w:p>
    <w:p>
      <w:pPr>
        <w:spacing w:after="80" w:before="0"/>
      </w:pPr>
      <w:r>
        <w:rPr>
          <w:rFonts w:ascii="Calibri" w:hAnsi="Calibri"/>
          <w:b w:val="0"/>
          <w:i w:val="0"/>
          <w:color w:val="2A2622"/>
          <w:sz w:val="21"/>
        </w:rPr>
        <w:t>Tufts Fletcher (MPP) values international and comparative framing; my statement connects mid-size city reform to a broader comparative lens.</w:t>
      </w:r>
    </w:p>
    <w:p>
      <w:pPr>
        <w:spacing w:after="80" w:before="0"/>
      </w:pPr>
      <w:r>
        <w:rPr>
          <w:rFonts w:ascii="Calibri" w:hAnsi="Calibri"/>
          <w:b w:val="0"/>
          <w:i w:val="0"/>
          <w:color w:val="2A2622"/>
          <w:sz w:val="21"/>
        </w:rPr>
        <w:t>Johns Hopkins SAIS (MPP) is quantitative and economics-forward; my statement leans on methods and reproducible analysis.</w:t>
      </w:r>
    </w:p>
    <w:p>
      <w:pPr>
        <w:spacing w:before="180" w:after="60"/>
      </w:pPr>
      <w:r>
        <w:rPr>
          <w:rFonts w:ascii="Calibri" w:hAnsi="Calibri"/>
          <w:b/>
          <w:i w:val="0"/>
          <w:color w:val="7A3B2E"/>
          <w:sz w:val="26"/>
        </w:rPr>
        <w:t>11. Document checklist</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fill="7A3B2E"/>
          </w:tcPr>
          <w:p>
            <w:r/>
            <w:r>
              <w:rPr>
                <w:rFonts w:ascii="Calibri" w:hAnsi="Calibri"/>
                <w:b/>
                <w:i w:val="0"/>
                <w:color w:val="FFFFFF"/>
                <w:sz w:val="18"/>
              </w:rPr>
              <w:t>Document</w:t>
            </w:r>
          </w:p>
        </w:tc>
        <w:tc>
          <w:tcPr>
            <w:tcW w:type="dxa" w:w="3216"/>
            <w:shd w:val="clear" w:fill="7A3B2E"/>
          </w:tcPr>
          <w:p>
            <w:r/>
            <w:r>
              <w:rPr>
                <w:rFonts w:ascii="Calibri" w:hAnsi="Calibri"/>
                <w:b/>
                <w:i w:val="0"/>
                <w:color w:val="FFFFFF"/>
                <w:sz w:val="18"/>
              </w:rPr>
              <w:t>Where</w:t>
            </w:r>
          </w:p>
        </w:tc>
        <w:tc>
          <w:tcPr>
            <w:tcW w:type="dxa" w:w="3216"/>
            <w:shd w:val="clear" w:fill="7A3B2E"/>
          </w:tcPr>
          <w:p>
            <w:r/>
            <w:r>
              <w:rPr>
                <w:rFonts w:ascii="Calibri" w:hAnsi="Calibri"/>
                <w:b/>
                <w:i w:val="0"/>
                <w:color w:val="FFFFFF"/>
                <w:sz w:val="18"/>
              </w:rPr>
              <w:t>Status</w:t>
            </w:r>
          </w:p>
        </w:tc>
      </w:tr>
      <w:tr>
        <w:tc>
          <w:tcPr>
            <w:tcW w:type="dxa" w:w="3216"/>
          </w:tcPr>
          <w:p>
            <w:r/>
            <w:r>
              <w:rPr>
                <w:rFonts w:ascii="Calibri" w:hAnsi="Calibri"/>
                <w:b w:val="0"/>
                <w:i w:val="0"/>
                <w:color w:val="2A2622"/>
                <w:sz w:val="18"/>
              </w:rPr>
              <w:t>Statement of purpose (HKS)</w:t>
            </w:r>
          </w:p>
        </w:tc>
        <w:tc>
          <w:tcPr>
            <w:tcW w:type="dxa" w:w="3216"/>
          </w:tcPr>
          <w:p>
            <w:r/>
            <w:r>
              <w:rPr>
                <w:rFonts w:ascii="Calibri" w:hAnsi="Calibri"/>
                <w:b w:val="0"/>
                <w:i w:val="0"/>
                <w:color w:val="2A2622"/>
                <w:sz w:val="18"/>
              </w:rPr>
              <w:t>D01</w:t>
            </w:r>
          </w:p>
        </w:tc>
        <w:tc>
          <w:tcPr>
            <w:tcW w:type="dxa" w:w="3216"/>
          </w:tcPr>
          <w:p>
            <w:r/>
            <w:r>
              <w:rPr>
                <w:rFonts w:ascii="Calibri" w:hAnsi="Calibri"/>
                <w:b w:val="0"/>
                <w:i w:val="0"/>
                <w:color w:val="2A2622"/>
                <w:sz w:val="18"/>
              </w:rPr>
              <w:t>Drafted</w:t>
            </w:r>
          </w:p>
        </w:tc>
      </w:tr>
      <w:tr>
        <w:tc>
          <w:tcPr>
            <w:tcW w:type="dxa" w:w="3216"/>
          </w:tcPr>
          <w:p>
            <w:r/>
            <w:r>
              <w:rPr>
                <w:rFonts w:ascii="Calibri" w:hAnsi="Calibri"/>
                <w:b w:val="0"/>
                <w:i w:val="0"/>
                <w:color w:val="2A2622"/>
                <w:sz w:val="18"/>
              </w:rPr>
              <w:t>CV</w:t>
            </w:r>
          </w:p>
        </w:tc>
        <w:tc>
          <w:tcPr>
            <w:tcW w:type="dxa" w:w="3216"/>
          </w:tcPr>
          <w:p>
            <w:r/>
            <w:r>
              <w:rPr>
                <w:rFonts w:ascii="Calibri" w:hAnsi="Calibri"/>
                <w:b w:val="0"/>
                <w:i w:val="0"/>
                <w:color w:val="2A2622"/>
                <w:sz w:val="18"/>
              </w:rPr>
              <w:t>D03</w:t>
            </w:r>
          </w:p>
        </w:tc>
        <w:tc>
          <w:tcPr>
            <w:tcW w:type="dxa" w:w="3216"/>
          </w:tcPr>
          <w:p>
            <w:r/>
            <w:r>
              <w:rPr>
                <w:rFonts w:ascii="Calibri" w:hAnsi="Calibri"/>
                <w:b w:val="0"/>
                <w:i w:val="0"/>
                <w:color w:val="2A2622"/>
                <w:sz w:val="18"/>
              </w:rPr>
              <w:t>Final</w:t>
            </w:r>
          </w:p>
        </w:tc>
      </w:tr>
      <w:tr>
        <w:tc>
          <w:tcPr>
            <w:tcW w:type="dxa" w:w="3216"/>
          </w:tcPr>
          <w:p>
            <w:r/>
            <w:r>
              <w:rPr>
                <w:rFonts w:ascii="Calibri" w:hAnsi="Calibri"/>
                <w:b w:val="0"/>
                <w:i w:val="0"/>
                <w:color w:val="2A2622"/>
                <w:sz w:val="18"/>
              </w:rPr>
              <w:t>Transcript</w:t>
            </w:r>
          </w:p>
        </w:tc>
        <w:tc>
          <w:tcPr>
            <w:tcW w:type="dxa" w:w="3216"/>
          </w:tcPr>
          <w:p>
            <w:r/>
            <w:r>
              <w:rPr>
                <w:rFonts w:ascii="Calibri" w:hAnsi="Calibri"/>
                <w:b w:val="0"/>
                <w:i w:val="0"/>
                <w:color w:val="2A2622"/>
                <w:sz w:val="18"/>
              </w:rPr>
              <w:t>P07</w:t>
            </w:r>
          </w:p>
        </w:tc>
        <w:tc>
          <w:tcPr>
            <w:tcW w:type="dxa" w:w="3216"/>
          </w:tcPr>
          <w:p>
            <w:r/>
            <w:r>
              <w:rPr>
                <w:rFonts w:ascii="Calibri" w:hAnsi="Calibri"/>
                <w:b w:val="0"/>
                <w:i w:val="0"/>
                <w:color w:val="2A2622"/>
                <w:sz w:val="18"/>
              </w:rPr>
              <w:t>Available</w:t>
            </w:r>
          </w:p>
        </w:tc>
      </w:tr>
      <w:tr>
        <w:tc>
          <w:tcPr>
            <w:tcW w:type="dxa" w:w="3216"/>
          </w:tcPr>
          <w:p>
            <w:r/>
            <w:r>
              <w:rPr>
                <w:rFonts w:ascii="Calibri" w:hAnsi="Calibri"/>
                <w:b w:val="0"/>
                <w:i w:val="0"/>
                <w:color w:val="2A2622"/>
                <w:sz w:val="18"/>
              </w:rPr>
              <w:t>Application tracker</w:t>
            </w:r>
          </w:p>
        </w:tc>
        <w:tc>
          <w:tcPr>
            <w:tcW w:type="dxa" w:w="3216"/>
          </w:tcPr>
          <w:p>
            <w:r/>
            <w:r>
              <w:rPr>
                <w:rFonts w:ascii="Calibri" w:hAnsi="Calibri"/>
                <w:b w:val="0"/>
                <w:i w:val="0"/>
                <w:color w:val="2A2622"/>
                <w:sz w:val="18"/>
              </w:rPr>
              <w:t>X03</w:t>
            </w:r>
          </w:p>
        </w:tc>
        <w:tc>
          <w:tcPr>
            <w:tcW w:type="dxa" w:w="3216"/>
          </w:tcPr>
          <w:p>
            <w:r/>
            <w:r>
              <w:rPr>
                <w:rFonts w:ascii="Calibri" w:hAnsi="Calibri"/>
                <w:b w:val="0"/>
                <w:i w:val="0"/>
                <w:color w:val="2A2622"/>
                <w:sz w:val="18"/>
              </w:rPr>
              <w:t>Maintained</w:t>
            </w:r>
          </w:p>
        </w:tc>
      </w:tr>
    </w:tbl>
    <w:p>
      <w:pPr>
        <w:spacing w:before="180" w:after="60"/>
      </w:pPr>
      <w:r>
        <w:rPr>
          <w:rFonts w:ascii="Calibri" w:hAnsi="Calibri"/>
          <w:b/>
          <w:i w:val="0"/>
          <w:color w:val="7A3B2E"/>
          <w:sz w:val="26"/>
        </w:rPr>
        <w:t>12. Final note</w:t>
      </w:r>
    </w:p>
    <w:p>
      <w:pPr>
        <w:spacing w:after="80" w:before="0"/>
      </w:pPr>
      <w:r>
        <w:rPr>
          <w:rFonts w:ascii="Calibri" w:hAnsi="Calibri"/>
          <w:b w:val="0"/>
          <w:i w:val="0"/>
          <w:color w:val="2A2622"/>
          <w:sz w:val="21"/>
        </w:rPr>
        <w:t>The hardest part of this process is not the writing; it is the coordination across four programs with different rules. This brief and the tracker (X03) exist so that nothing falls through the gap between portals that I cannot see into.</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C7466"/>
        <w:sz w:val="15"/>
      </w:rPr>
      <w:t>Recommender Brief, Allen Weber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0" w:space="1" w:color="7A3B2E"/>
      </w:pBdr>
    </w:pPr>
    <w:r>
      <w:rPr>
        <w:rFonts w:ascii="Calibri" w:hAnsi="Calibri"/>
        <w:b/>
        <w:i w:val="0"/>
        <w:color w:val="7A3B2E"/>
        <w:sz w:val="18"/>
      </w:rPr>
      <w:t>Graduate Applications</w:t>
    </w:r>
    <w:r>
      <w:rPr>
        <w:rFonts w:ascii="Calibri" w:hAnsi="Calibri"/>
        <w:b w:val="0"/>
        <w:i w:val="0"/>
        <w:color w:val="7C7466"/>
        <w:sz w:val="16"/>
      </w:rPr>
      <w:t>Recommender Brief and Application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Allen Weber</dc:creator>
  <cp:lastModifiedBy>Allen Weber</cp:lastModifiedBy>
  <cp:revision>1</cp:revision>
  <dcterms:created xsi:type="dcterms:W3CDTF">2027-06-12T12:16:00Z</dcterms:created>
  <dcterms:modified xsi:type="dcterms:W3CDTF">2027-06-12T12:16:00Z</dcterms:modified>
</cp:coreProperties>
</file>