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2A2622"/>
          <w:sz w:val="34"/>
        </w:rPr>
        <w:t>Interim Chapter: Methods and First Results</w:t>
      </w:r>
    </w:p>
    <w:p>
      <w:pPr>
        <w:spacing w:after="80" w:before="0"/>
        <w:jc w:val="center"/>
      </w:pPr>
      <w:r>
        <w:rPr>
          <w:rFonts w:ascii="Calibri" w:hAnsi="Calibri"/>
          <w:b/>
          <w:i w:val="0"/>
          <w:color w:val="7C7466"/>
          <w:sz w:val="21"/>
        </w:rPr>
        <w:t>Zoning Policy and Displacement in Two New England Case Cities</w:t>
      </w:r>
    </w:p>
    <w:p>
      <w:pPr>
        <w:spacing w:after="160" w:before="0"/>
        <w:jc w:val="center"/>
      </w:pPr>
      <w:r>
        <w:rPr>
          <w:rFonts w:ascii="Calibri" w:hAnsi="Calibri"/>
          <w:b w:val="0"/>
          <w:i w:val="0"/>
          <w:color w:val="7C7466"/>
          <w:sz w:val="21"/>
        </w:rPr>
        <w:t>Allen Weber, advised by Prof. Lena Marsh, due 2027-12-04</w:t>
      </w:r>
    </w:p>
    <w:p>
      <w:pPr>
        <w:spacing w:before="180" w:after="60"/>
      </w:pPr>
      <w:r>
        <w:rPr>
          <w:rFonts w:ascii="Calibri" w:hAnsi="Calibri"/>
          <w:b/>
          <w:i w:val="0"/>
          <w:color w:val="7A3B2E"/>
          <w:sz w:val="26"/>
        </w:rPr>
        <w:t>1. Purpose of this chapter</w:t>
      </w:r>
    </w:p>
    <w:p>
      <w:pPr>
        <w:spacing w:after="80" w:before="0"/>
      </w:pPr>
      <w:r>
        <w:rPr>
          <w:rFonts w:ascii="Calibri" w:hAnsi="Calibri"/>
          <w:b w:val="0"/>
          <w:i w:val="0"/>
          <w:color w:val="2A2622"/>
          <w:sz w:val="21"/>
        </w:rPr>
        <w:t>This interim chapter reports the corridor panel assembled since the proposal (P02) and the first descriptive results from the two case cities, Worcester, MA and New Haven, CT. It does not yet present the full difference-in-differences estimates; those follow in the spring. The goal here is to show that the data are clean, the index behaves sensibly, and the design is ready to carry causal weight.</w:t>
      </w:r>
    </w:p>
    <w:p>
      <w:pPr>
        <w:spacing w:before="180" w:after="60"/>
      </w:pPr>
      <w:r>
        <w:rPr>
          <w:rFonts w:ascii="Calibri" w:hAnsi="Calibri"/>
          <w:b/>
          <w:i w:val="0"/>
          <w:color w:val="7A3B2E"/>
          <w:sz w:val="26"/>
        </w:rPr>
        <w:t>2. Data assembled</w:t>
      </w:r>
    </w:p>
    <w:p>
      <w:pPr>
        <w:spacing w:after="80" w:before="0"/>
      </w:pPr>
      <w:r>
        <w:rPr>
          <w:rFonts w:ascii="Calibri" w:hAnsi="Calibri"/>
          <w:b w:val="0"/>
          <w:i w:val="0"/>
          <w:color w:val="2A2622"/>
          <w:sz w:val="21"/>
        </w:rPr>
        <w:t>Working from the source set tracked in workbook X04 and the summer field report (P06), I built a corridor-level panel spanning 2018 through 2025. Each corridor carries its upzoning year, a flag for tenant protections, and the three normalized components of the displacement index.</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fill="7A3B2E"/>
          </w:tcPr>
          <w:p>
            <w:r/>
            <w:r>
              <w:rPr>
                <w:rFonts w:ascii="Calibri" w:hAnsi="Calibri"/>
                <w:b/>
                <w:i w:val="0"/>
                <w:color w:val="FFFFFF"/>
                <w:sz w:val="18"/>
              </w:rPr>
              <w:t>City</w:t>
            </w:r>
          </w:p>
        </w:tc>
        <w:tc>
          <w:tcPr>
            <w:tcW w:type="dxa" w:w="2412"/>
            <w:shd w:val="clear" w:fill="7A3B2E"/>
          </w:tcPr>
          <w:p>
            <w:r/>
            <w:r>
              <w:rPr>
                <w:rFonts w:ascii="Calibri" w:hAnsi="Calibri"/>
                <w:b/>
                <w:i w:val="0"/>
                <w:color w:val="FFFFFF"/>
                <w:sz w:val="18"/>
              </w:rPr>
              <w:t>Corridors</w:t>
            </w:r>
          </w:p>
        </w:tc>
        <w:tc>
          <w:tcPr>
            <w:tcW w:type="dxa" w:w="2412"/>
            <w:shd w:val="clear" w:fill="7A3B2E"/>
          </w:tcPr>
          <w:p>
            <w:r/>
            <w:r>
              <w:rPr>
                <w:rFonts w:ascii="Calibri" w:hAnsi="Calibri"/>
                <w:b/>
                <w:i w:val="0"/>
                <w:color w:val="FFFFFF"/>
                <w:sz w:val="18"/>
              </w:rPr>
              <w:t>Years</w:t>
            </w:r>
          </w:p>
        </w:tc>
        <w:tc>
          <w:tcPr>
            <w:tcW w:type="dxa" w:w="2412"/>
            <w:shd w:val="clear" w:fill="7A3B2E"/>
          </w:tcPr>
          <w:p>
            <w:r/>
            <w:r>
              <w:rPr>
                <w:rFonts w:ascii="Calibri" w:hAnsi="Calibri"/>
                <w:b/>
                <w:i w:val="0"/>
                <w:color w:val="FFFFFF"/>
                <w:sz w:val="18"/>
              </w:rPr>
              <w:t>Upzoned</w:t>
            </w:r>
          </w:p>
        </w:tc>
      </w:tr>
      <w:tr>
        <w:tc>
          <w:tcPr>
            <w:tcW w:type="dxa" w:w="2412"/>
          </w:tcPr>
          <w:p>
            <w:r/>
            <w:r>
              <w:rPr>
                <w:rFonts w:ascii="Calibri" w:hAnsi="Calibri"/>
                <w:b w:val="0"/>
                <w:i w:val="0"/>
                <w:color w:val="2A2622"/>
                <w:sz w:val="18"/>
              </w:rPr>
              <w:t>Worcester, MA</w:t>
            </w:r>
          </w:p>
        </w:tc>
        <w:tc>
          <w:tcPr>
            <w:tcW w:type="dxa" w:w="2412"/>
          </w:tcPr>
          <w:p>
            <w:r/>
            <w:r>
              <w:rPr>
                <w:rFonts w:ascii="Calibri" w:hAnsi="Calibri"/>
                <w:b w:val="0"/>
                <w:i w:val="0"/>
                <w:color w:val="2A2622"/>
                <w:sz w:val="18"/>
              </w:rPr>
              <w:t>14</w:t>
            </w:r>
          </w:p>
        </w:tc>
        <w:tc>
          <w:tcPr>
            <w:tcW w:type="dxa" w:w="2412"/>
          </w:tcPr>
          <w:p>
            <w:r/>
            <w:r>
              <w:rPr>
                <w:rFonts w:ascii="Calibri" w:hAnsi="Calibri"/>
                <w:b w:val="0"/>
                <w:i w:val="0"/>
                <w:color w:val="2A2622"/>
                <w:sz w:val="18"/>
              </w:rPr>
              <w:t>2018-2025</w:t>
            </w:r>
          </w:p>
        </w:tc>
        <w:tc>
          <w:tcPr>
            <w:tcW w:type="dxa" w:w="2412"/>
          </w:tcPr>
          <w:p>
            <w:r/>
            <w:r>
              <w:rPr>
                <w:rFonts w:ascii="Calibri" w:hAnsi="Calibri"/>
                <w:b w:val="0"/>
                <w:i w:val="0"/>
                <w:color w:val="2A2622"/>
                <w:sz w:val="18"/>
              </w:rPr>
              <w:t>6</w:t>
            </w:r>
          </w:p>
        </w:tc>
      </w:tr>
      <w:tr>
        <w:tc>
          <w:tcPr>
            <w:tcW w:type="dxa" w:w="2412"/>
          </w:tcPr>
          <w:p>
            <w:r/>
            <w:r>
              <w:rPr>
                <w:rFonts w:ascii="Calibri" w:hAnsi="Calibri"/>
                <w:b w:val="0"/>
                <w:i w:val="0"/>
                <w:color w:val="2A2622"/>
                <w:sz w:val="18"/>
              </w:rPr>
              <w:t>New Haven, CT</w:t>
            </w:r>
          </w:p>
        </w:tc>
        <w:tc>
          <w:tcPr>
            <w:tcW w:type="dxa" w:w="2412"/>
          </w:tcPr>
          <w:p>
            <w:r/>
            <w:r>
              <w:rPr>
                <w:rFonts w:ascii="Calibri" w:hAnsi="Calibri"/>
                <w:b w:val="0"/>
                <w:i w:val="0"/>
                <w:color w:val="2A2622"/>
                <w:sz w:val="18"/>
              </w:rPr>
              <w:t>11</w:t>
            </w:r>
          </w:p>
        </w:tc>
        <w:tc>
          <w:tcPr>
            <w:tcW w:type="dxa" w:w="2412"/>
          </w:tcPr>
          <w:p>
            <w:r/>
            <w:r>
              <w:rPr>
                <w:rFonts w:ascii="Calibri" w:hAnsi="Calibri"/>
                <w:b w:val="0"/>
                <w:i w:val="0"/>
                <w:color w:val="2A2622"/>
                <w:sz w:val="18"/>
              </w:rPr>
              <w:t>2018-2025</w:t>
            </w:r>
          </w:p>
        </w:tc>
        <w:tc>
          <w:tcPr>
            <w:tcW w:type="dxa" w:w="2412"/>
          </w:tcPr>
          <w:p>
            <w:r/>
            <w:r>
              <w:rPr>
                <w:rFonts w:ascii="Calibri" w:hAnsi="Calibri"/>
                <w:b w:val="0"/>
                <w:i w:val="0"/>
                <w:color w:val="2A2622"/>
                <w:sz w:val="18"/>
              </w:rPr>
              <w:t>4</w:t>
            </w:r>
          </w:p>
        </w:tc>
      </w:tr>
      <w:tr>
        <w:tc>
          <w:tcPr>
            <w:tcW w:type="dxa" w:w="2412"/>
          </w:tcPr>
          <w:p>
            <w:r/>
            <w:r>
              <w:rPr>
                <w:rFonts w:ascii="Calibri" w:hAnsi="Calibri"/>
                <w:b w:val="0"/>
                <w:i w:val="0"/>
                <w:color w:val="2A2622"/>
                <w:sz w:val="18"/>
              </w:rPr>
              <w:t>Total</w:t>
            </w:r>
          </w:p>
        </w:tc>
        <w:tc>
          <w:tcPr>
            <w:tcW w:type="dxa" w:w="2412"/>
          </w:tcPr>
          <w:p>
            <w:r/>
            <w:r>
              <w:rPr>
                <w:rFonts w:ascii="Calibri" w:hAnsi="Calibri"/>
                <w:b w:val="0"/>
                <w:i w:val="0"/>
                <w:color w:val="2A2622"/>
                <w:sz w:val="18"/>
              </w:rPr>
              <w:t>25</w:t>
            </w:r>
          </w:p>
        </w:tc>
        <w:tc>
          <w:tcPr>
            <w:tcW w:type="dxa" w:w="2412"/>
          </w:tcPr>
          <w:p>
            <w:r/>
            <w:r>
              <w:rPr>
                <w:rFonts w:ascii="Calibri" w:hAnsi="Calibri"/>
                <w:b w:val="0"/>
                <w:i w:val="0"/>
                <w:color w:val="2A2622"/>
                <w:sz w:val="18"/>
              </w:rPr>
              <w:t>2018-2025</w:t>
            </w:r>
          </w:p>
        </w:tc>
        <w:tc>
          <w:tcPr>
            <w:tcW w:type="dxa" w:w="2412"/>
          </w:tcPr>
          <w:p>
            <w:r/>
            <w:r>
              <w:rPr>
                <w:rFonts w:ascii="Calibri" w:hAnsi="Calibri"/>
                <w:b w:val="0"/>
                <w:i w:val="0"/>
                <w:color w:val="2A2622"/>
                <w:sz w:val="18"/>
              </w:rPr>
              <w:t>10</w:t>
            </w:r>
          </w:p>
        </w:tc>
      </w:tr>
    </w:tbl>
    <w:p>
      <w:pPr>
        <w:spacing w:before="180" w:after="60"/>
      </w:pPr>
      <w:r>
        <w:rPr>
          <w:rFonts w:ascii="Calibri" w:hAnsi="Calibri"/>
          <w:b/>
          <w:i w:val="0"/>
          <w:color w:val="7A3B2E"/>
          <w:sz w:val="26"/>
        </w:rPr>
        <w:t>3. The displacement index in practice</w:t>
      </w:r>
    </w:p>
    <w:p>
      <w:pPr>
        <w:spacing w:after="80" w:before="0"/>
      </w:pPr>
      <w:r>
        <w:rPr>
          <w:rFonts w:ascii="Calibri" w:hAnsi="Calibri"/>
          <w:b w:val="0"/>
          <w:i w:val="0"/>
          <w:color w:val="2A2622"/>
          <w:sz w:val="21"/>
        </w:rPr>
        <w:t>The index combines tenant turnover, change in rent burden, and net market-rate permits, each scaled to a zero to one range and weighted equally in the base version. In the panel, upzoned corridors without protections show the highest index values, and the comparison corridors the lowest, which is the ordering the design predicts.</w:t>
      </w:r>
    </w:p>
    <w:p>
      <w:r>
        <w:br w:type="page"/>
      </w:r>
    </w:p>
    <w:p>
      <w:pPr>
        <w:spacing w:before="180" w:after="60"/>
      </w:pPr>
      <w:r>
        <w:rPr>
          <w:rFonts w:ascii="Calibri" w:hAnsi="Calibri"/>
          <w:b/>
          <w:i w:val="0"/>
          <w:color w:val="7A3B2E"/>
          <w:sz w:val="26"/>
        </w:rPr>
        <w:t>4. First descriptive results</w:t>
      </w:r>
    </w:p>
    <w:p>
      <w:pPr>
        <w:spacing w:after="80" w:before="0"/>
      </w:pPr>
      <w:r>
        <w:rPr>
          <w:rFonts w:ascii="Calibri" w:hAnsi="Calibri"/>
          <w:b w:val="0"/>
          <w:i w:val="0"/>
          <w:color w:val="2A2622"/>
          <w:sz w:val="21"/>
        </w:rPr>
        <w:t>The table below summarizes mean index values by corridor type. These are descriptive means, not causal estimates, and the standard errors are wide. Still, the pattern is consistent across both cities.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7A3B2E"/>
          </w:tcPr>
          <w:p>
            <w:r/>
            <w:r>
              <w:rPr>
                <w:rFonts w:ascii="Calibri" w:hAnsi="Calibri"/>
                <w:b/>
                <w:i w:val="0"/>
                <w:color w:val="FFFFFF"/>
                <w:sz w:val="18"/>
              </w:rPr>
              <w:t>Corridor type</w:t>
            </w:r>
          </w:p>
        </w:tc>
        <w:tc>
          <w:tcPr>
            <w:tcW w:type="dxa" w:w="3216"/>
            <w:shd w:val="clear" w:fill="7A3B2E"/>
          </w:tcPr>
          <w:p>
            <w:r/>
            <w:r>
              <w:rPr>
                <w:rFonts w:ascii="Calibri" w:hAnsi="Calibri"/>
                <w:b/>
                <w:i w:val="0"/>
                <w:color w:val="FFFFFF"/>
                <w:sz w:val="18"/>
              </w:rPr>
              <w:t>Mean index</w:t>
            </w:r>
          </w:p>
        </w:tc>
        <w:tc>
          <w:tcPr>
            <w:tcW w:type="dxa" w:w="3216"/>
            <w:shd w:val="clear" w:fill="7A3B2E"/>
          </w:tcPr>
          <w:p>
            <w:r/>
            <w:r>
              <w:rPr>
                <w:rFonts w:ascii="Calibri" w:hAnsi="Calibri"/>
                <w:b/>
                <w:i w:val="0"/>
                <w:color w:val="FFFFFF"/>
                <w:sz w:val="18"/>
              </w:rPr>
              <w:t>Direction</w:t>
            </w:r>
          </w:p>
        </w:tc>
      </w:tr>
      <w:tr>
        <w:tc>
          <w:tcPr>
            <w:tcW w:type="dxa" w:w="3216"/>
          </w:tcPr>
          <w:p>
            <w:r/>
            <w:r>
              <w:rPr>
                <w:rFonts w:ascii="Calibri" w:hAnsi="Calibri"/>
                <w:b w:val="0"/>
                <w:i w:val="0"/>
                <w:color w:val="2A2622"/>
                <w:sz w:val="18"/>
              </w:rPr>
              <w:t>Upzoned, no protection</w:t>
            </w:r>
          </w:p>
        </w:tc>
        <w:tc>
          <w:tcPr>
            <w:tcW w:type="dxa" w:w="3216"/>
          </w:tcPr>
          <w:p>
            <w:r/>
            <w:r>
              <w:rPr>
                <w:rFonts w:ascii="Calibri" w:hAnsi="Calibri"/>
                <w:b w:val="0"/>
                <w:i w:val="0"/>
                <w:color w:val="2A2622"/>
                <w:sz w:val="18"/>
              </w:rPr>
              <w:t>0.61</w:t>
            </w:r>
          </w:p>
        </w:tc>
        <w:tc>
          <w:tcPr>
            <w:tcW w:type="dxa" w:w="3216"/>
          </w:tcPr>
          <w:p>
            <w:r/>
            <w:r>
              <w:rPr>
                <w:rFonts w:ascii="Calibri" w:hAnsi="Calibri"/>
                <w:b w:val="0"/>
                <w:i w:val="0"/>
                <w:color w:val="2A2622"/>
                <w:sz w:val="18"/>
              </w:rPr>
              <w:t>Highest</w:t>
            </w:r>
          </w:p>
        </w:tc>
      </w:tr>
      <w:tr>
        <w:tc>
          <w:tcPr>
            <w:tcW w:type="dxa" w:w="3216"/>
          </w:tcPr>
          <w:p>
            <w:r/>
            <w:r>
              <w:rPr>
                <w:rFonts w:ascii="Calibri" w:hAnsi="Calibri"/>
                <w:b w:val="0"/>
                <w:i w:val="0"/>
                <w:color w:val="2A2622"/>
                <w:sz w:val="18"/>
              </w:rPr>
              <w:t>Upzoned, with protection</w:t>
            </w:r>
          </w:p>
        </w:tc>
        <w:tc>
          <w:tcPr>
            <w:tcW w:type="dxa" w:w="3216"/>
          </w:tcPr>
          <w:p>
            <w:r/>
            <w:r>
              <w:rPr>
                <w:rFonts w:ascii="Calibri" w:hAnsi="Calibri"/>
                <w:b w:val="0"/>
                <w:i w:val="0"/>
                <w:color w:val="2A2622"/>
                <w:sz w:val="18"/>
              </w:rPr>
              <w:t>0.44</w:t>
            </w:r>
          </w:p>
        </w:tc>
        <w:tc>
          <w:tcPr>
            <w:tcW w:type="dxa" w:w="3216"/>
          </w:tcPr>
          <w:p>
            <w:r/>
            <w:r>
              <w:rPr>
                <w:rFonts w:ascii="Calibri" w:hAnsi="Calibri"/>
                <w:b w:val="0"/>
                <w:i w:val="0"/>
                <w:color w:val="2A2622"/>
                <w:sz w:val="18"/>
              </w:rPr>
              <w:t>Middle</w:t>
            </w:r>
          </w:p>
        </w:tc>
      </w:tr>
      <w:tr>
        <w:tc>
          <w:tcPr>
            <w:tcW w:type="dxa" w:w="3216"/>
          </w:tcPr>
          <w:p>
            <w:r/>
            <w:r>
              <w:rPr>
                <w:rFonts w:ascii="Calibri" w:hAnsi="Calibri"/>
                <w:b w:val="0"/>
                <w:i w:val="0"/>
                <w:color w:val="2A2622"/>
                <w:sz w:val="18"/>
              </w:rPr>
              <w:t>Comparison</w:t>
            </w:r>
          </w:p>
        </w:tc>
        <w:tc>
          <w:tcPr>
            <w:tcW w:type="dxa" w:w="3216"/>
          </w:tcPr>
          <w:p>
            <w:r/>
            <w:r>
              <w:rPr>
                <w:rFonts w:ascii="Calibri" w:hAnsi="Calibri"/>
                <w:b w:val="0"/>
                <w:i w:val="0"/>
                <w:color w:val="2A2622"/>
                <w:sz w:val="18"/>
              </w:rPr>
              <w:t>0.33</w:t>
            </w:r>
          </w:p>
        </w:tc>
        <w:tc>
          <w:tcPr>
            <w:tcW w:type="dxa" w:w="3216"/>
          </w:tcPr>
          <w:p>
            <w:r/>
            <w:r>
              <w:rPr>
                <w:rFonts w:ascii="Calibri" w:hAnsi="Calibri"/>
                <w:b w:val="0"/>
                <w:i w:val="0"/>
                <w:color w:val="2A2622"/>
                <w:sz w:val="18"/>
              </w:rPr>
              <w:t>Lowest</w:t>
            </w:r>
          </w:p>
        </w:tc>
      </w:tr>
    </w:tbl>
    <w:p>
      <w:pPr>
        <w:spacing w:after="80" w:before="0"/>
      </w:pPr>
      <w:r>
        <w:rPr>
          <w:rFonts w:ascii="Calibri" w:hAnsi="Calibri"/>
          <w:b w:val="0"/>
          <w:i w:val="0"/>
          <w:color w:val="2A2622"/>
          <w:sz w:val="21"/>
        </w:rPr>
        <w:t>The gap between the two upzoned categories is the result that matters most for the policy question. It suggests, tentatively, that protections do meaningful work. The spring analysis will test whether the gap survives a proper comparison design.</w:t>
      </w:r>
    </w:p>
    <w:p>
      <w:pPr>
        <w:spacing w:before="180" w:after="60"/>
      </w:pPr>
      <w:r>
        <w:rPr>
          <w:rFonts w:ascii="Calibri" w:hAnsi="Calibri"/>
          <w:b/>
          <w:i w:val="0"/>
          <w:color w:val="7A3B2E"/>
          <w:sz w:val="26"/>
        </w:rPr>
        <w:t>5. Robustness so far</w:t>
      </w:r>
    </w:p>
    <w:p>
      <w:pPr>
        <w:pStyle w:val="ListBullet"/>
        <w:spacing w:after="40"/>
      </w:pPr>
      <w:r>
        <w:rPr>
          <w:rFonts w:ascii="Calibri" w:hAnsi="Calibri"/>
          <w:b w:val="0"/>
          <w:i w:val="0"/>
          <w:color w:val="2A2622"/>
          <w:sz w:val="21"/>
        </w:rPr>
        <w:t>Reweighting the index toward permits does not change the ordering of corridor types.</w:t>
      </w:r>
    </w:p>
    <w:p>
      <w:pPr>
        <w:pStyle w:val="ListBullet"/>
        <w:spacing w:after="40"/>
      </w:pPr>
      <w:r>
        <w:rPr>
          <w:rFonts w:ascii="Calibri" w:hAnsi="Calibri"/>
          <w:b w:val="0"/>
          <w:i w:val="0"/>
          <w:color w:val="2A2622"/>
          <w:sz w:val="21"/>
        </w:rPr>
        <w:t>Dropping corridors with sparse 2019 records leaves the pattern intact.</w:t>
      </w:r>
    </w:p>
    <w:p>
      <w:pPr>
        <w:pStyle w:val="ListBullet"/>
        <w:spacing w:after="40"/>
      </w:pPr>
      <w:r>
        <w:rPr>
          <w:rFonts w:ascii="Calibri" w:hAnsi="Calibri"/>
          <w:b w:val="0"/>
          <w:i w:val="0"/>
          <w:color w:val="2A2622"/>
          <w:sz w:val="21"/>
        </w:rPr>
        <w:t>Results hold when each city is analyzed separately.</w:t>
      </w:r>
    </w:p>
    <w:p>
      <w:pPr>
        <w:spacing w:before="180" w:after="60"/>
      </w:pPr>
      <w:r>
        <w:rPr>
          <w:rFonts w:ascii="Calibri" w:hAnsi="Calibri"/>
          <w:b/>
          <w:i w:val="0"/>
          <w:color w:val="7A3B2E"/>
          <w:sz w:val="26"/>
        </w:rPr>
        <w:t>6. Open problems</w:t>
      </w:r>
    </w:p>
    <w:p>
      <w:pPr>
        <w:spacing w:after="80" w:before="0"/>
      </w:pPr>
      <w:r>
        <w:rPr>
          <w:rFonts w:ascii="Calibri" w:hAnsi="Calibri"/>
          <w:b w:val="0"/>
          <w:i w:val="0"/>
          <w:color w:val="2A2622"/>
          <w:sz w:val="21"/>
        </w:rPr>
        <w:t>Two issues remain. First, the comparison corridors were chosen to be similar, but selection into upzoning is political, not random; the matched design in the spring must address this directly. Second, turnover remains the weakest of the three components, and I am considering whether to down-weight it.</w:t>
      </w:r>
    </w:p>
    <w:p>
      <w:r>
        <w:br w:type="page"/>
      </w:r>
    </w:p>
    <w:p>
      <w:pPr>
        <w:spacing w:before="180" w:after="60"/>
      </w:pPr>
      <w:r>
        <w:rPr>
          <w:rFonts w:ascii="Calibri" w:hAnsi="Calibri"/>
          <w:b/>
          <w:i w:val="0"/>
          <w:color w:val="7A3B2E"/>
          <w:sz w:val="26"/>
        </w:rPr>
        <w:t>7. Plan to the final draft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7A3B2E"/>
          </w:tcPr>
          <w:p>
            <w:r/>
            <w:r>
              <w:rPr>
                <w:rFonts w:ascii="Calibri" w:hAnsi="Calibri"/>
                <w:b/>
                <w:i w:val="0"/>
                <w:color w:val="FFFFFF"/>
                <w:sz w:val="18"/>
              </w:rPr>
              <w:t>Step</w:t>
            </w:r>
          </w:p>
        </w:tc>
        <w:tc>
          <w:tcPr>
            <w:tcW w:type="dxa" w:w="3216"/>
            <w:shd w:val="clear" w:fill="7A3B2E"/>
          </w:tcPr>
          <w:p>
            <w:r/>
            <w:r>
              <w:rPr>
                <w:rFonts w:ascii="Calibri" w:hAnsi="Calibri"/>
                <w:b/>
                <w:i w:val="0"/>
                <w:color w:val="FFFFFF"/>
                <w:sz w:val="18"/>
              </w:rPr>
              <w:t>Target</w:t>
            </w:r>
          </w:p>
        </w:tc>
        <w:tc>
          <w:tcPr>
            <w:tcW w:type="dxa" w:w="3216"/>
            <w:shd w:val="clear" w:fill="7A3B2E"/>
          </w:tcPr>
          <w:p>
            <w:r/>
            <w:r>
              <w:rPr>
                <w:rFonts w:ascii="Calibri" w:hAnsi="Calibri"/>
                <w:b/>
                <w:i w:val="0"/>
                <w:color w:val="FFFFFF"/>
                <w:sz w:val="18"/>
              </w:rPr>
              <w:t>Output</w:t>
            </w:r>
          </w:p>
        </w:tc>
      </w:tr>
      <w:tr>
        <w:tc>
          <w:tcPr>
            <w:tcW w:type="dxa" w:w="3216"/>
          </w:tcPr>
          <w:p>
            <w:r/>
            <w:r>
              <w:rPr>
                <w:rFonts w:ascii="Calibri" w:hAnsi="Calibri"/>
                <w:b w:val="0"/>
                <w:i w:val="0"/>
                <w:color w:val="2A2622"/>
                <w:sz w:val="18"/>
              </w:rPr>
              <w:t>Matched comparison build</w:t>
            </w:r>
          </w:p>
        </w:tc>
        <w:tc>
          <w:tcPr>
            <w:tcW w:type="dxa" w:w="3216"/>
          </w:tcPr>
          <w:p>
            <w:r/>
            <w:r>
              <w:rPr>
                <w:rFonts w:ascii="Calibri" w:hAnsi="Calibri"/>
                <w:b w:val="0"/>
                <w:i w:val="0"/>
                <w:color w:val="2A2622"/>
                <w:sz w:val="18"/>
              </w:rPr>
              <w:t>2028-02</w:t>
            </w:r>
          </w:p>
        </w:tc>
        <w:tc>
          <w:tcPr>
            <w:tcW w:type="dxa" w:w="3216"/>
          </w:tcPr>
          <w:p>
            <w:r/>
            <w:r>
              <w:rPr>
                <w:rFonts w:ascii="Calibri" w:hAnsi="Calibri"/>
                <w:b w:val="0"/>
                <w:i w:val="0"/>
                <w:color w:val="2A2622"/>
                <w:sz w:val="18"/>
              </w:rPr>
              <w:t>Matched corridor pairs</w:t>
            </w:r>
          </w:p>
        </w:tc>
      </w:tr>
      <w:tr>
        <w:tc>
          <w:tcPr>
            <w:tcW w:type="dxa" w:w="3216"/>
          </w:tcPr>
          <w:p>
            <w:r/>
            <w:r>
              <w:rPr>
                <w:rFonts w:ascii="Calibri" w:hAnsi="Calibri"/>
                <w:b w:val="0"/>
                <w:i w:val="0"/>
                <w:color w:val="2A2622"/>
                <w:sz w:val="18"/>
              </w:rPr>
              <w:t>Difference-in-differences</w:t>
            </w:r>
          </w:p>
        </w:tc>
        <w:tc>
          <w:tcPr>
            <w:tcW w:type="dxa" w:w="3216"/>
          </w:tcPr>
          <w:p>
            <w:r/>
            <w:r>
              <w:rPr>
                <w:rFonts w:ascii="Calibri" w:hAnsi="Calibri"/>
                <w:b w:val="0"/>
                <w:i w:val="0"/>
                <w:color w:val="2A2622"/>
                <w:sz w:val="18"/>
              </w:rPr>
              <w:t>2028-03</w:t>
            </w:r>
          </w:p>
        </w:tc>
        <w:tc>
          <w:tcPr>
            <w:tcW w:type="dxa" w:w="3216"/>
          </w:tcPr>
          <w:p>
            <w:r/>
            <w:r>
              <w:rPr>
                <w:rFonts w:ascii="Calibri" w:hAnsi="Calibri"/>
                <w:b w:val="0"/>
                <w:i w:val="0"/>
                <w:color w:val="2A2622"/>
                <w:sz w:val="18"/>
              </w:rPr>
              <w:t>Causal estimates</w:t>
            </w:r>
          </w:p>
        </w:tc>
      </w:tr>
      <w:tr>
        <w:tc>
          <w:tcPr>
            <w:tcW w:type="dxa" w:w="3216"/>
          </w:tcPr>
          <w:p>
            <w:r/>
            <w:r>
              <w:rPr>
                <w:rFonts w:ascii="Calibri" w:hAnsi="Calibri"/>
                <w:b w:val="0"/>
                <w:i w:val="0"/>
                <w:color w:val="2A2622"/>
                <w:sz w:val="18"/>
              </w:rPr>
              <w:t>Robustness suite</w:t>
            </w:r>
          </w:p>
        </w:tc>
        <w:tc>
          <w:tcPr>
            <w:tcW w:type="dxa" w:w="3216"/>
          </w:tcPr>
          <w:p>
            <w:r/>
            <w:r>
              <w:rPr>
                <w:rFonts w:ascii="Calibri" w:hAnsi="Calibri"/>
                <w:b w:val="0"/>
                <w:i w:val="0"/>
                <w:color w:val="2A2622"/>
                <w:sz w:val="18"/>
              </w:rPr>
              <w:t>2028-03</w:t>
            </w:r>
          </w:p>
        </w:tc>
        <w:tc>
          <w:tcPr>
            <w:tcW w:type="dxa" w:w="3216"/>
          </w:tcPr>
          <w:p>
            <w:r/>
            <w:r>
              <w:rPr>
                <w:rFonts w:ascii="Calibri" w:hAnsi="Calibri"/>
                <w:b w:val="0"/>
                <w:i w:val="0"/>
                <w:color w:val="2A2622"/>
                <w:sz w:val="18"/>
              </w:rPr>
              <w:t>Sensitivity tables</w:t>
            </w:r>
          </w:p>
        </w:tc>
      </w:tr>
      <w:tr>
        <w:tc>
          <w:tcPr>
            <w:tcW w:type="dxa" w:w="3216"/>
          </w:tcPr>
          <w:p>
            <w:r/>
            <w:r>
              <w:rPr>
                <w:rFonts w:ascii="Calibri" w:hAnsi="Calibri"/>
                <w:b w:val="0"/>
                <w:i w:val="0"/>
                <w:color w:val="2A2622"/>
                <w:sz w:val="18"/>
              </w:rPr>
              <w:t>Full draft</w:t>
            </w:r>
          </w:p>
        </w:tc>
        <w:tc>
          <w:tcPr>
            <w:tcW w:type="dxa" w:w="3216"/>
          </w:tcPr>
          <w:p>
            <w:r/>
            <w:r>
              <w:rPr>
                <w:rFonts w:ascii="Calibri" w:hAnsi="Calibri"/>
                <w:b w:val="0"/>
                <w:i w:val="0"/>
                <w:color w:val="2A2622"/>
                <w:sz w:val="18"/>
              </w:rPr>
              <w:t>2028-03-20</w:t>
            </w:r>
          </w:p>
        </w:tc>
        <w:tc>
          <w:tcPr>
            <w:tcW w:type="dxa" w:w="3216"/>
          </w:tcPr>
          <w:p>
            <w:r/>
            <w:r>
              <w:rPr>
                <w:rFonts w:ascii="Calibri" w:hAnsi="Calibri"/>
                <w:b w:val="0"/>
                <w:i w:val="0"/>
                <w:color w:val="2A2622"/>
                <w:sz w:val="18"/>
              </w:rPr>
              <w:t>Complete manuscript</w:t>
            </w:r>
          </w:p>
        </w:tc>
      </w:tr>
      <w:tr>
        <w:tc>
          <w:tcPr>
            <w:tcW w:type="dxa" w:w="3216"/>
          </w:tcPr>
          <w:p>
            <w:r/>
            <w:r>
              <w:rPr>
                <w:rFonts w:ascii="Calibri" w:hAnsi="Calibri"/>
                <w:b w:val="0"/>
                <w:i w:val="0"/>
                <w:color w:val="2A2622"/>
                <w:sz w:val="18"/>
              </w:rPr>
              <w:t>Defense</w:t>
            </w:r>
          </w:p>
        </w:tc>
        <w:tc>
          <w:tcPr>
            <w:tcW w:type="dxa" w:w="3216"/>
          </w:tcPr>
          <w:p>
            <w:r/>
            <w:r>
              <w:rPr>
                <w:rFonts w:ascii="Calibri" w:hAnsi="Calibri"/>
                <w:b w:val="0"/>
                <w:i w:val="0"/>
                <w:color w:val="2A2622"/>
                <w:sz w:val="18"/>
              </w:rPr>
              <w:t>2028-04-24</w:t>
            </w:r>
          </w:p>
        </w:tc>
        <w:tc>
          <w:tcPr>
            <w:tcW w:type="dxa" w:w="3216"/>
          </w:tcPr>
          <w:p>
            <w:r/>
            <w:r>
              <w:rPr>
                <w:rFonts w:ascii="Calibri" w:hAnsi="Calibri"/>
                <w:b w:val="0"/>
                <w:i w:val="0"/>
                <w:color w:val="2A2622"/>
                <w:sz w:val="18"/>
              </w:rPr>
              <w:t>Committee review</w:t>
            </w:r>
          </w:p>
        </w:tc>
      </w:tr>
    </w:tbl>
    <w:p>
      <w:pPr>
        <w:spacing w:before="180" w:after="60"/>
      </w:pPr>
      <w:r>
        <w:rPr>
          <w:rFonts w:ascii="Calibri" w:hAnsi="Calibri"/>
          <w:b/>
          <w:i w:val="0"/>
          <w:color w:val="7A3B2E"/>
          <w:sz w:val="26"/>
        </w:rPr>
        <w:t>8. What I need from my advisor</w:t>
      </w:r>
    </w:p>
    <w:p>
      <w:pPr>
        <w:spacing w:after="80" w:before="0"/>
      </w:pPr>
      <w:r>
        <w:rPr>
          <w:rFonts w:ascii="Calibri" w:hAnsi="Calibri"/>
          <w:b w:val="0"/>
          <w:i w:val="0"/>
          <w:color w:val="2A2622"/>
          <w:sz w:val="21"/>
        </w:rPr>
        <w:t>I would value guidance on the matching strategy, specifically whether to match on pre-period trends or on baseline covariates, and a gut check on the decision to down-weight turnover. I will bring a short options memo to office hours rather than a vague question.</w:t>
      </w:r>
    </w:p>
    <w:p>
      <w:pPr>
        <w:spacing w:before="180" w:after="60"/>
      </w:pPr>
      <w:r>
        <w:rPr>
          <w:rFonts w:ascii="Calibri" w:hAnsi="Calibri"/>
          <w:b/>
          <w:i w:val="0"/>
          <w:color w:val="7A3B2E"/>
          <w:sz w:val="26"/>
        </w:rPr>
        <w:t>9. Summary</w:t>
      </w:r>
    </w:p>
    <w:p>
      <w:pPr>
        <w:spacing w:after="80" w:before="0"/>
      </w:pPr>
      <w:r>
        <w:rPr>
          <w:rFonts w:ascii="Calibri" w:hAnsi="Calibri"/>
          <w:b w:val="0"/>
          <w:i w:val="0"/>
          <w:color w:val="2A2622"/>
          <w:sz w:val="21"/>
        </w:rPr>
        <w:t>The panel is built, the index behaves as expected, and the descriptive results point the direction the proposal anticipated. The work is on schedule for the final deadline (2028-05-15), and the remaining risk is concentrated in the identification strategy, which is exactly where it should be at this stage.</w:t>
      </w:r>
    </w:p>
    <w:p>
      <w:r>
        <w:br w:type="page"/>
      </w:r>
    </w:p>
    <w:p>
      <w:pPr>
        <w:spacing w:before="180" w:after="60"/>
      </w:pPr>
      <w:r>
        <w:rPr>
          <w:rFonts w:ascii="Calibri" w:hAnsi="Calibri"/>
          <w:b/>
          <w:i w:val="0"/>
          <w:color w:val="7A3B2E"/>
          <w:sz w:val="26"/>
        </w:rPr>
        <w:t>10. Appendix: index component definitions</w:t>
      </w:r>
    </w:p>
    <w:p>
      <w:pPr>
        <w:spacing w:after="80" w:before="0"/>
      </w:pPr>
      <w:r>
        <w:rPr>
          <w:rFonts w:ascii="Calibri" w:hAnsi="Calibri"/>
          <w:b w:val="0"/>
          <w:i w:val="0"/>
          <w:color w:val="2A2622"/>
          <w:sz w:val="21"/>
        </w:rPr>
        <w:t>For the committee's reference, the three index components are defined precisely below so the spring analysis can be evaluated against a fixed specification.</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7A3B2E"/>
          </w:tcPr>
          <w:p>
            <w:r/>
            <w:r>
              <w:rPr>
                <w:rFonts w:ascii="Calibri" w:hAnsi="Calibri"/>
                <w:b/>
                <w:i w:val="0"/>
                <w:color w:val="FFFFFF"/>
                <w:sz w:val="18"/>
              </w:rPr>
              <w:t>Component</w:t>
            </w:r>
          </w:p>
        </w:tc>
        <w:tc>
          <w:tcPr>
            <w:tcW w:type="dxa" w:w="3216"/>
            <w:shd w:val="clear" w:fill="7A3B2E"/>
          </w:tcPr>
          <w:p>
            <w:r/>
            <w:r>
              <w:rPr>
                <w:rFonts w:ascii="Calibri" w:hAnsi="Calibri"/>
                <w:b/>
                <w:i w:val="0"/>
                <w:color w:val="FFFFFF"/>
                <w:sz w:val="18"/>
              </w:rPr>
              <w:t>Definition</w:t>
            </w:r>
          </w:p>
        </w:tc>
        <w:tc>
          <w:tcPr>
            <w:tcW w:type="dxa" w:w="3216"/>
            <w:shd w:val="clear" w:fill="7A3B2E"/>
          </w:tcPr>
          <w:p>
            <w:r/>
            <w:r>
              <w:rPr>
                <w:rFonts w:ascii="Calibri" w:hAnsi="Calibri"/>
                <w:b/>
                <w:i w:val="0"/>
                <w:color w:val="FFFFFF"/>
                <w:sz w:val="18"/>
              </w:rPr>
              <w:t>Normalization</w:t>
            </w:r>
          </w:p>
        </w:tc>
      </w:tr>
      <w:tr>
        <w:tc>
          <w:tcPr>
            <w:tcW w:type="dxa" w:w="3216"/>
          </w:tcPr>
          <w:p>
            <w:r/>
            <w:r>
              <w:rPr>
                <w:rFonts w:ascii="Calibri" w:hAnsi="Calibri"/>
                <w:b w:val="0"/>
                <w:i w:val="0"/>
                <w:color w:val="2A2622"/>
                <w:sz w:val="18"/>
              </w:rPr>
              <w:t>Turnover</w:t>
            </w:r>
          </w:p>
        </w:tc>
        <w:tc>
          <w:tcPr>
            <w:tcW w:type="dxa" w:w="3216"/>
          </w:tcPr>
          <w:p>
            <w:r/>
            <w:r>
              <w:rPr>
                <w:rFonts w:ascii="Calibri" w:hAnsi="Calibri"/>
                <w:b w:val="0"/>
                <w:i w:val="0"/>
                <w:color w:val="2A2622"/>
                <w:sz w:val="18"/>
              </w:rPr>
              <w:t>Share of units changing tenant per year</w:t>
            </w:r>
          </w:p>
        </w:tc>
        <w:tc>
          <w:tcPr>
            <w:tcW w:type="dxa" w:w="3216"/>
          </w:tcPr>
          <w:p>
            <w:r/>
            <w:r>
              <w:rPr>
                <w:rFonts w:ascii="Calibri" w:hAnsi="Calibri"/>
                <w:b w:val="0"/>
                <w:i w:val="0"/>
                <w:color w:val="2A2622"/>
                <w:sz w:val="18"/>
              </w:rPr>
              <w:t>Min-max to zero to one</w:t>
            </w:r>
          </w:p>
        </w:tc>
      </w:tr>
      <w:tr>
        <w:tc>
          <w:tcPr>
            <w:tcW w:type="dxa" w:w="3216"/>
          </w:tcPr>
          <w:p>
            <w:r/>
            <w:r>
              <w:rPr>
                <w:rFonts w:ascii="Calibri" w:hAnsi="Calibri"/>
                <w:b w:val="0"/>
                <w:i w:val="0"/>
                <w:color w:val="2A2622"/>
                <w:sz w:val="18"/>
              </w:rPr>
              <w:t>Rent burden change</w:t>
            </w:r>
          </w:p>
        </w:tc>
        <w:tc>
          <w:tcPr>
            <w:tcW w:type="dxa" w:w="3216"/>
          </w:tcPr>
          <w:p>
            <w:r/>
            <w:r>
              <w:rPr>
                <w:rFonts w:ascii="Calibri" w:hAnsi="Calibri"/>
                <w:b w:val="0"/>
                <w:i w:val="0"/>
                <w:color w:val="2A2622"/>
                <w:sz w:val="18"/>
              </w:rPr>
              <w:t>Change in share paying over 30 percent of income</w:t>
            </w:r>
          </w:p>
        </w:tc>
        <w:tc>
          <w:tcPr>
            <w:tcW w:type="dxa" w:w="3216"/>
          </w:tcPr>
          <w:p>
            <w:r/>
            <w:r>
              <w:rPr>
                <w:rFonts w:ascii="Calibri" w:hAnsi="Calibri"/>
                <w:b w:val="0"/>
                <w:i w:val="0"/>
                <w:color w:val="2A2622"/>
                <w:sz w:val="18"/>
              </w:rPr>
              <w:t>Min-max to zero to one</w:t>
            </w:r>
          </w:p>
        </w:tc>
      </w:tr>
      <w:tr>
        <w:tc>
          <w:tcPr>
            <w:tcW w:type="dxa" w:w="3216"/>
          </w:tcPr>
          <w:p>
            <w:r/>
            <w:r>
              <w:rPr>
                <w:rFonts w:ascii="Calibri" w:hAnsi="Calibri"/>
                <w:b w:val="0"/>
                <w:i w:val="0"/>
                <w:color w:val="2A2622"/>
                <w:sz w:val="18"/>
              </w:rPr>
              <w:t>Permits</w:t>
            </w:r>
          </w:p>
        </w:tc>
        <w:tc>
          <w:tcPr>
            <w:tcW w:type="dxa" w:w="3216"/>
          </w:tcPr>
          <w:p>
            <w:r/>
            <w:r>
              <w:rPr>
                <w:rFonts w:ascii="Calibri" w:hAnsi="Calibri"/>
                <w:b w:val="0"/>
                <w:i w:val="0"/>
                <w:color w:val="2A2622"/>
                <w:sz w:val="18"/>
              </w:rPr>
              <w:t>Net market-rate units permitted per 1000 residents</w:t>
            </w:r>
          </w:p>
        </w:tc>
        <w:tc>
          <w:tcPr>
            <w:tcW w:type="dxa" w:w="3216"/>
          </w:tcPr>
          <w:p>
            <w:r/>
            <w:r>
              <w:rPr>
                <w:rFonts w:ascii="Calibri" w:hAnsi="Calibri"/>
                <w:b w:val="0"/>
                <w:i w:val="0"/>
                <w:color w:val="2A2622"/>
                <w:sz w:val="18"/>
              </w:rPr>
              <w:t>Min-max to zero to one</w:t>
            </w:r>
          </w:p>
        </w:tc>
      </w:tr>
    </w:tbl>
    <w:p>
      <w:pPr>
        <w:spacing w:before="120" w:after="40"/>
      </w:pPr>
      <w:r>
        <w:rPr>
          <w:rFonts w:ascii="Calibri" w:hAnsi="Calibri"/>
          <w:b/>
          <w:i w:val="0"/>
          <w:color w:val="3A5043"/>
          <w:sz w:val="22"/>
        </w:rPr>
        <w:t>Weighting note</w:t>
      </w:r>
    </w:p>
    <w:p>
      <w:pPr>
        <w:spacing w:after="80" w:before="0"/>
      </w:pPr>
      <w:r>
        <w:rPr>
          <w:rFonts w:ascii="Calibri" w:hAnsi="Calibri"/>
          <w:b w:val="0"/>
          <w:i w:val="0"/>
          <w:color w:val="2A2622"/>
          <w:sz w:val="21"/>
        </w:rPr>
        <w:t>The base index weights the three components equally. The robustness suite will report results under permit-heavy and turnover-light weightings so the committee can see how sensitive the ordering is to that choice.</w:t>
      </w:r>
    </w:p>
    <w:p>
      <w:pPr>
        <w:spacing w:before="120" w:after="40"/>
      </w:pPr>
      <w:r>
        <w:rPr>
          <w:rFonts w:ascii="Calibri" w:hAnsi="Calibri"/>
          <w:b/>
          <w:i w:val="0"/>
          <w:color w:val="3A5043"/>
          <w:sz w:val="22"/>
        </w:rPr>
        <w:t>Reproducibility</w:t>
      </w:r>
    </w:p>
    <w:p>
      <w:pPr>
        <w:spacing w:after="80" w:before="0"/>
      </w:pPr>
      <w:r>
        <w:rPr>
          <w:rFonts w:ascii="Calibri" w:hAnsi="Calibri"/>
          <w:b w:val="0"/>
          <w:i w:val="0"/>
          <w:color w:val="2A2622"/>
          <w:sz w:val="21"/>
        </w:rPr>
        <w:t>Every figure in the final draft will be regenerable from the raw source pulls with a single command. The cleaning and analysis code is versioned, and the data dictionary appears in the summer report (P06).</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C7466"/>
        <w:sz w:val="15"/>
      </w:rPr>
      <w:t>Senior Thesis Interim Chapter, Allen Weber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0" w:space="1" w:color="7A3B2E"/>
      </w:pBdr>
    </w:pPr>
    <w:r>
      <w:rPr>
        <w:rFonts w:ascii="Calibri" w:hAnsi="Calibri"/>
        <w:b/>
        <w:i w:val="0"/>
        <w:color w:val="7A3B2E"/>
        <w:sz w:val="18"/>
      </w:rPr>
      <w:t>Senior Thesis</w:t>
    </w:r>
    <w:r>
      <w:rPr>
        <w:rFonts w:ascii="Calibri" w:hAnsi="Calibri"/>
        <w:b w:val="0"/>
        <w:i w:val="0"/>
        <w:color w:val="7C7466"/>
        <w:sz w:val="16"/>
      </w:rPr>
      <w:t>Interim Chapter, THS-PS-2027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Allen Weber</dc:creator>
  <cp:lastModifiedBy>Allen Weber</cp:lastModifiedBy>
  <cp:revision>1</cp:revision>
  <dcterms:created xsi:type="dcterms:W3CDTF">2027-06-12T15:33:00Z</dcterms:created>
  <dcterms:modified xsi:type="dcterms:W3CDTF">2027-06-12T15:33:00Z</dcterms:modified>
</cp:coreProperties>
</file>