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i w:val="0"/>
          <w:color w:val="2A2622"/>
          <w:sz w:val="34"/>
        </w:rPr>
        <w:t>Statement of Purpose</w:t>
      </w:r>
    </w:p>
    <w:p>
      <w:pPr>
        <w:spacing w:after="80" w:before="0"/>
        <w:jc w:val="center"/>
      </w:pPr>
      <w:r>
        <w:rPr>
          <w:rFonts w:ascii="Calibri" w:hAnsi="Calibri"/>
          <w:b/>
          <w:i w:val="0"/>
          <w:color w:val="7C7466"/>
          <w:sz w:val="21"/>
        </w:rPr>
        <w:t>Harvard Kennedy School, Master in Public Policy</w:t>
      </w:r>
    </w:p>
    <w:p>
      <w:pPr>
        <w:spacing w:after="160" w:before="0"/>
        <w:jc w:val="center"/>
      </w:pPr>
      <w:r>
        <w:rPr>
          <w:rFonts w:ascii="Calibri" w:hAnsi="Calibri"/>
          <w:b w:val="0"/>
          <w:i w:val="0"/>
          <w:color w:val="7C7466"/>
          <w:sz w:val="21"/>
        </w:rPr>
        <w:t>Allen Weber</w:t>
      </w:r>
    </w:p>
    <w:p>
      <w:pPr>
        <w:spacing w:before="180" w:after="60"/>
      </w:pPr>
      <w:r>
        <w:rPr>
          <w:rFonts w:ascii="Calibri" w:hAnsi="Calibri"/>
          <w:b/>
          <w:i w:val="0"/>
          <w:color w:val="7A3B2E"/>
          <w:sz w:val="26"/>
        </w:rPr>
        <w:t>Why public policy, and why now</w:t>
      </w:r>
    </w:p>
    <w:p>
      <w:pPr>
        <w:spacing w:after="80" w:before="0"/>
      </w:pPr>
      <w:r>
        <w:rPr>
          <w:rFonts w:ascii="Calibri" w:hAnsi="Calibri"/>
          <w:b w:val="0"/>
          <w:i w:val="0"/>
          <w:color w:val="2A2622"/>
          <w:sz w:val="21"/>
        </w:rPr>
        <w:t>I grew up watching my parents do everything right and still feel the floor shift under them. My father is an accountant and my mother a nurse; they are precise, careful people who taught me that systems matter. What they could not teach me, because no one had taught them, was how housing policy quietly decides who gets to stay in a neighborhood and who has to leave. I went to college to learn that, and I want a Master in Public Policy to learn how to change it.</w:t>
      </w:r>
    </w:p>
    <w:p>
      <w:pPr>
        <w:spacing w:before="180" w:after="60"/>
      </w:pPr>
      <w:r>
        <w:rPr>
          <w:rFonts w:ascii="Calibri" w:hAnsi="Calibri"/>
          <w:b/>
          <w:i w:val="0"/>
          <w:color w:val="7A3B2E"/>
          <w:sz w:val="26"/>
        </w:rPr>
        <w:t>What I have studied</w:t>
      </w:r>
    </w:p>
    <w:p>
      <w:pPr>
        <w:spacing w:after="80" w:before="0"/>
      </w:pPr>
      <w:r>
        <w:rPr>
          <w:rFonts w:ascii="Calibri" w:hAnsi="Calibri"/>
          <w:b w:val="0"/>
          <w:i w:val="0"/>
          <w:color w:val="2A2622"/>
          <w:sz w:val="21"/>
        </w:rPr>
        <w:t>At Harbor Point I major in Political Science with a minor in Data Analytics, a pairing chosen on purpose. Policy without numbers is opinion; numbers without policy are trivia. My junior research paper examined zoning reform and tenant displacement in mid-size cities, and it taught me a hard lesson about measurement: turnover is easy to count and difficult to attribute. That lesson now anchors my senior thesis, which extends the work to two New England case cities under Prof. Lena Marsh.</w:t>
      </w:r>
    </w:p>
    <w:p>
      <w:pPr>
        <w:spacing w:before="180" w:after="60"/>
      </w:pPr>
      <w:r>
        <w:rPr>
          <w:rFonts w:ascii="Calibri" w:hAnsi="Calibri"/>
          <w:b/>
          <w:i w:val="0"/>
          <w:color w:val="7A3B2E"/>
          <w:sz w:val="26"/>
        </w:rPr>
        <w:t>The Whitfield summer</w:t>
      </w:r>
    </w:p>
    <w:p>
      <w:pPr>
        <w:spacing w:after="80" w:before="0"/>
      </w:pPr>
      <w:r>
        <w:rPr>
          <w:rFonts w:ascii="Calibri" w:hAnsi="Calibri"/>
          <w:b w:val="0"/>
          <w:i w:val="0"/>
          <w:color w:val="2A2622"/>
          <w:sz w:val="21"/>
        </w:rPr>
        <w:t>This summer I hold a Whitfield Research Fellowship at a Boston housing coalition, where I built a corridor-level displacement index from public permit and Census data. The index is modest by design, a screening tool rather than a verdict, but building it taught me how to turn a policy question into something a city planner can actually act on. That translation, from question to usable tool, is what I want to do for a living.</w:t>
      </w:r>
    </w:p>
    <w:p>
      <w:r>
        <w:br w:type="page"/>
      </w:r>
    </w:p>
    <w:p>
      <w:pPr>
        <w:spacing w:before="180" w:after="60"/>
      </w:pPr>
      <w:r>
        <w:rPr>
          <w:rFonts w:ascii="Calibri" w:hAnsi="Calibri"/>
          <w:b/>
          <w:i w:val="0"/>
          <w:color w:val="7A3B2E"/>
          <w:sz w:val="26"/>
        </w:rPr>
        <w:t>Why the Kennedy School</w:t>
      </w:r>
    </w:p>
    <w:p>
      <w:pPr>
        <w:spacing w:after="80" w:before="0"/>
      </w:pPr>
      <w:r>
        <w:rPr>
          <w:rFonts w:ascii="Calibri" w:hAnsi="Calibri"/>
          <w:b w:val="0"/>
          <w:i w:val="0"/>
          <w:color w:val="2A2622"/>
          <w:sz w:val="21"/>
        </w:rPr>
        <w:t>I am drawn to the Kennedy School because it treats analytical rigor and public purpose as the same discipline rather than competing ones. I want to study urban and housing policy with faculty who work at the intersection of quantitative methods and local governance, and to learn alongside people who have run the programs I have only read about. The school's emphasis on policy in practice fits how I already work: I would rather build the tool than admire the problem.</w:t>
      </w:r>
    </w:p>
    <w:p>
      <w:pPr>
        <w:spacing w:before="120" w:after="40"/>
      </w:pPr>
      <w:r>
        <w:rPr>
          <w:rFonts w:ascii="Calibri" w:hAnsi="Calibri"/>
          <w:b/>
          <w:i w:val="0"/>
          <w:color w:val="3A5043"/>
          <w:sz w:val="22"/>
        </w:rPr>
        <w:t>What I would bring</w:t>
      </w:r>
    </w:p>
    <w:p>
      <w:pPr>
        <w:pStyle w:val="ListBullet"/>
        <w:spacing w:after="40"/>
      </w:pPr>
      <w:r>
        <w:rPr>
          <w:rFonts w:ascii="Calibri" w:hAnsi="Calibri"/>
          <w:b w:val="0"/>
          <w:i w:val="0"/>
          <w:color w:val="2A2622"/>
          <w:sz w:val="21"/>
        </w:rPr>
        <w:t>A first-generation perspective that keeps the human stakes of housing policy in view.</w:t>
      </w:r>
    </w:p>
    <w:p>
      <w:pPr>
        <w:pStyle w:val="ListBullet"/>
        <w:spacing w:after="40"/>
      </w:pPr>
      <w:r>
        <w:rPr>
          <w:rFonts w:ascii="Calibri" w:hAnsi="Calibri"/>
          <w:b w:val="0"/>
          <w:i w:val="0"/>
          <w:color w:val="2A2622"/>
          <w:sz w:val="21"/>
        </w:rPr>
        <w:t>Working fluency in R and Python and the habit of reproducible analysis.</w:t>
      </w:r>
    </w:p>
    <w:p>
      <w:pPr>
        <w:pStyle w:val="ListBullet"/>
        <w:spacing w:after="40"/>
      </w:pPr>
      <w:r>
        <w:rPr>
          <w:rFonts w:ascii="Calibri" w:hAnsi="Calibri"/>
          <w:b w:val="0"/>
          <w:i w:val="0"/>
          <w:color w:val="2A2622"/>
          <w:sz w:val="21"/>
        </w:rPr>
        <w:t>Field experience translating data into recommendations a non-technical board can use.</w:t>
      </w:r>
    </w:p>
    <w:p>
      <w:pPr>
        <w:pStyle w:val="ListBullet"/>
        <w:spacing w:after="40"/>
      </w:pPr>
      <w:r>
        <w:rPr>
          <w:rFonts w:ascii="Calibri" w:hAnsi="Calibri"/>
          <w:b w:val="0"/>
          <w:i w:val="0"/>
          <w:color w:val="2A2622"/>
          <w:sz w:val="21"/>
        </w:rPr>
        <w:t>A bias toward honest limitations over confident overreach.</w:t>
      </w:r>
    </w:p>
    <w:p>
      <w:pPr>
        <w:spacing w:before="180" w:after="60"/>
      </w:pPr>
      <w:r>
        <w:rPr>
          <w:rFonts w:ascii="Calibri" w:hAnsi="Calibri"/>
          <w:b/>
          <w:i w:val="0"/>
          <w:color w:val="7A3B2E"/>
          <w:sz w:val="26"/>
        </w:rPr>
        <w:t>After the degree</w:t>
      </w:r>
    </w:p>
    <w:p>
      <w:pPr>
        <w:spacing w:after="80" w:before="0"/>
      </w:pPr>
      <w:r>
        <w:rPr>
          <w:rFonts w:ascii="Calibri" w:hAnsi="Calibri"/>
          <w:b w:val="0"/>
          <w:i w:val="0"/>
          <w:color w:val="2A2622"/>
          <w:sz w:val="21"/>
        </w:rPr>
        <w:t>In the near term I want to work in a city or state housing office, or at a research nonprofit that advises them, building the kind of analysis that helps mid-size cities upzone without displacing the residents the reform is meant to help. Longer term I want to lead that work, and to mentor the next first-generation student who suspects that systems can be understood and, with effort, improved.</w:t>
      </w:r>
    </w:p>
    <w:p>
      <w:r>
        <w:br w:type="page"/>
      </w:r>
    </w:p>
    <w:p>
      <w:pPr>
        <w:spacing w:before="180" w:after="60"/>
      </w:pPr>
      <w:r>
        <w:rPr>
          <w:rFonts w:ascii="Calibri" w:hAnsi="Calibri"/>
          <w:b/>
          <w:i w:val="0"/>
          <w:color w:val="7A3B2E"/>
          <w:sz w:val="26"/>
        </w:rPr>
        <w:t>A note on rigor and humility</w:t>
      </w:r>
    </w:p>
    <w:p>
      <w:pPr>
        <w:spacing w:after="80" w:before="0"/>
      </w:pPr>
      <w:r>
        <w:rPr>
          <w:rFonts w:ascii="Calibri" w:hAnsi="Calibri"/>
          <w:b w:val="0"/>
          <w:i w:val="0"/>
          <w:color w:val="2A2622"/>
          <w:sz w:val="21"/>
        </w:rPr>
        <w:t>My research has made me skeptical of clean stories. The honest finding from my junior paper was that the effect of upzoning depends on context and on whether tenant protections travel with it. I expect the thesis to complicate that further. I mention this because I want to study where careful people argue carefully, and where a well-defended null result is treated as a contribution rather than a failure.</w:t>
      </w:r>
    </w:p>
    <w:p>
      <w:pPr>
        <w:spacing w:before="180" w:after="60"/>
      </w:pPr>
      <w:r>
        <w:rPr>
          <w:rFonts w:ascii="Calibri" w:hAnsi="Calibri"/>
          <w:b/>
          <w:i w:val="0"/>
          <w:color w:val="7A3B2E"/>
          <w:sz w:val="26"/>
        </w:rPr>
        <w:t>Why this matters to me</w:t>
      </w:r>
    </w:p>
    <w:p>
      <w:pPr>
        <w:spacing w:after="80" w:before="0"/>
      </w:pPr>
      <w:r>
        <w:rPr>
          <w:rFonts w:ascii="Calibri" w:hAnsi="Calibri"/>
          <w:b w:val="0"/>
          <w:i w:val="0"/>
          <w:color w:val="2A2622"/>
          <w:sz w:val="21"/>
        </w:rPr>
        <w:t>When my family talks about home, they mean something specific: the apartment in Hartford where my parents built a life on two careful salaries. Housing policy is not abstract to me; it is the difference between a family that gets to stay and one that does not. I want the training to make that difference at scale, and the Kennedy School is where I want to get it.</w:t>
      </w:r>
    </w:p>
    <w:p>
      <w:pPr>
        <w:spacing w:before="180" w:after="60"/>
      </w:pPr>
      <w:r>
        <w:rPr>
          <w:rFonts w:ascii="Calibri" w:hAnsi="Calibri"/>
          <w:b/>
          <w:i w:val="0"/>
          <w:color w:val="7A3B2E"/>
          <w:sz w:val="26"/>
        </w:rPr>
        <w:t>Summary</w:t>
      </w:r>
    </w:p>
    <w:p>
      <w:pPr>
        <w:spacing w:after="80" w:before="0"/>
      </w:pPr>
      <w:r>
        <w:rPr>
          <w:rFonts w:ascii="Calibri" w:hAnsi="Calibri"/>
          <w:b w:val="0"/>
          <w:i w:val="0"/>
          <w:color w:val="2A2622"/>
          <w:sz w:val="21"/>
        </w:rPr>
        <w:t>I bring a clear question, the methods to study it, field experience applying them, and a reason that predates my transcript. I am ready for the rigor of an MPP, and I am ready to put it to work. Thank you for considering my application.</w:t>
      </w:r>
    </w:p>
    <w:p>
      <w:r>
        <w:br w:type="page"/>
      </w:r>
    </w:p>
    <w:p>
      <w:pPr>
        <w:spacing w:before="180" w:after="60"/>
      </w:pPr>
      <w:r>
        <w:rPr>
          <w:rFonts w:ascii="Calibri" w:hAnsi="Calibri"/>
          <w:b/>
          <w:i w:val="0"/>
          <w:color w:val="7A3B2E"/>
          <w:sz w:val="26"/>
        </w:rPr>
        <w:t>Research interests in detail</w:t>
      </w:r>
    </w:p>
    <w:p>
      <w:pPr>
        <w:spacing w:after="80" w:before="0"/>
      </w:pPr>
      <w:r>
        <w:rPr>
          <w:rFonts w:ascii="Calibri" w:hAnsi="Calibri"/>
          <w:b w:val="0"/>
          <w:i w:val="0"/>
          <w:color w:val="2A2622"/>
          <w:sz w:val="21"/>
        </w:rPr>
        <w:t>If admitted, I would focus on three connected questions. First, when does corridor upzoning need paired tenant protections to avoid displacing the residents it is meant to help? Second, how can mid-size cities, which lack the data staff of large cities, build cheap screening tools to triage where to look? Third, what is the right way to report uncertain findings to non-technical decision makers without either overclaiming or burying the result?</w:t>
      </w:r>
    </w:p>
    <w:p>
      <w:pPr>
        <w:spacing w:before="120" w:after="40"/>
      </w:pPr>
      <w:r>
        <w:rPr>
          <w:rFonts w:ascii="Calibri" w:hAnsi="Calibri"/>
          <w:b/>
          <w:i w:val="0"/>
          <w:color w:val="3A5043"/>
          <w:sz w:val="22"/>
        </w:rPr>
        <w:t>Faculty and resources I hope to work with</w:t>
      </w:r>
    </w:p>
    <w:p>
      <w:pPr>
        <w:pStyle w:val="ListBullet"/>
        <w:spacing w:after="40"/>
      </w:pPr>
      <w:r>
        <w:rPr>
          <w:rFonts w:ascii="Calibri" w:hAnsi="Calibri"/>
          <w:b w:val="0"/>
          <w:i w:val="0"/>
          <w:color w:val="2A2622"/>
          <w:sz w:val="21"/>
        </w:rPr>
        <w:t>Faculty working on housing and land use at the intersection of methods and governance.</w:t>
      </w:r>
    </w:p>
    <w:p>
      <w:pPr>
        <w:pStyle w:val="ListBullet"/>
        <w:spacing w:after="40"/>
      </w:pPr>
      <w:r>
        <w:rPr>
          <w:rFonts w:ascii="Calibri" w:hAnsi="Calibri"/>
          <w:b w:val="0"/>
          <w:i w:val="0"/>
          <w:color w:val="2A2622"/>
          <w:sz w:val="21"/>
        </w:rPr>
        <w:t>Quantitative methods sequences that go beyond introductory regression.</w:t>
      </w:r>
    </w:p>
    <w:p>
      <w:pPr>
        <w:pStyle w:val="ListBullet"/>
        <w:spacing w:after="40"/>
      </w:pPr>
      <w:r>
        <w:rPr>
          <w:rFonts w:ascii="Calibri" w:hAnsi="Calibri"/>
          <w:b w:val="0"/>
          <w:i w:val="0"/>
          <w:color w:val="2A2622"/>
          <w:sz w:val="21"/>
        </w:rPr>
        <w:t>Practitioner connections to city and state housing offices.</w:t>
      </w:r>
    </w:p>
    <w:p>
      <w:pPr>
        <w:spacing w:before="120" w:after="40"/>
      </w:pPr>
      <w:r>
        <w:rPr>
          <w:rFonts w:ascii="Calibri" w:hAnsi="Calibri"/>
          <w:b/>
          <w:i w:val="0"/>
          <w:color w:val="3A5043"/>
          <w:sz w:val="22"/>
        </w:rPr>
        <w:t>What I would do with the training</w:t>
      </w:r>
    </w:p>
    <w:p>
      <w:pPr>
        <w:spacing w:after="80" w:before="0"/>
      </w:pPr>
      <w:r>
        <w:rPr>
          <w:rFonts w:ascii="Calibri" w:hAnsi="Calibri"/>
          <w:b w:val="0"/>
          <w:i w:val="0"/>
          <w:color w:val="2A2622"/>
          <w:sz w:val="21"/>
        </w:rPr>
        <w:t>I want to leave with the ability to build, defend, and communicate a causal analysis that a housing office can act on within a budget cycle. That is a specific skill, and the Kennedy School is one of the few places that treats it as one.</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7C7466"/>
        <w:sz w:val="15"/>
      </w:rPr>
      <w:t>Statement of Purpose, Harvard Kennedy School, Allen Weber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10" w:space="1" w:color="7A3B2E"/>
      </w:pBdr>
    </w:pPr>
    <w:r>
      <w:rPr>
        <w:rFonts w:ascii="Calibri" w:hAnsi="Calibri"/>
        <w:b/>
        <w:i w:val="0"/>
        <w:color w:val="7A3B2E"/>
        <w:sz w:val="18"/>
      </w:rPr>
      <w:t>Graduate Application</w:t>
    </w:r>
    <w:r>
      <w:rPr>
        <w:rFonts w:ascii="Calibri" w:hAnsi="Calibri"/>
        <w:b w:val="0"/>
        <w:i w:val="0"/>
        <w:color w:val="7C7466"/>
        <w:sz w:val="16"/>
      </w:rPr>
      <w:t>Statement of Purpose, Harvard Kennedy School (MPP)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26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Allen Weber</dc:creator>
  <cp:lastModifiedBy>Allen Weber</cp:lastModifiedBy>
  <cp:revision>1</cp:revision>
  <dcterms:created xsi:type="dcterms:W3CDTF">2027-06-12T11:01:00Z</dcterms:created>
  <dcterms:modified xsi:type="dcterms:W3CDTF">2027-06-12T11:01:00Z</dcterms:modified>
</cp:coreProperties>
</file>