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Case for Kids: Position Paper Working Outline</w:t>
      </w:r>
    </w:p>
    <w:p>
      <w:r>
        <w:t>Caseload caps for Connecticut child welfare staff. Working draft, January 2026.</w:t>
      </w:r>
    </w:p>
    <w:p>
      <w:r>
        <w:rPr>
          <w:b/>
          <w:sz w:val="30"/>
        </w:rPr>
        <w:t>1. The problem</w:t>
      </w:r>
    </w:p>
    <w:p>
      <w:r>
        <w:t>Front line investigators in Connecticut routinely carry caseloads well above the nationally recommended ceiling. When a worker holds eighteen to twenty two active families, the arithmetic of a forty hour week makes meaningful contact impossible and pushes documentation into the margins of the day.</w:t>
      </w:r>
    </w:p>
    <w:p>
      <w:r>
        <w:rPr>
          <w:b/>
          <w:sz w:val="30"/>
        </w:rPr>
        <w:t>2. What the research says</w:t>
      </w:r>
    </w:p>
    <w:p>
      <w:pPr>
        <w:pStyle w:val="ListBullet"/>
      </w:pPr>
      <w:r>
        <w:t>Lower caseloads correlate with shorter time to permanency.</w:t>
      </w:r>
    </w:p>
    <w:p>
      <w:pPr>
        <w:pStyle w:val="ListBullet"/>
      </w:pPr>
      <w:r>
        <w:t>High caseloads predict worker turnover, which itself destabilizes placements.</w:t>
      </w:r>
    </w:p>
    <w:p>
      <w:pPr>
        <w:pStyle w:val="ListBullet"/>
      </w:pPr>
      <w:r>
        <w:t>Trauma informed practice requires time the current ratios do not allow.</w:t>
      </w:r>
    </w:p>
    <w:p>
      <w:r>
        <w:rPr>
          <w:b/>
          <w:sz w:val="30"/>
        </w:rPr>
        <w:t>3. The ask</w:t>
      </w:r>
    </w:p>
    <w:p>
      <w:r>
        <w:t>A statutory caseload cap of twelve active investigations per worker, phased over twenty four months, with a staffing plan reporting requirement to the legislature each fiscal year.</w:t>
      </w:r>
    </w:p>
    <w:p>
      <w:r>
        <w:rPr>
          <w:b/>
          <w:sz w:val="30"/>
        </w:rPr>
        <w:t>4. Fiscal note, high level</w:t>
      </w:r>
    </w:p>
    <w:p>
      <w:r>
        <w:t>Phased hiring estimated at forty to fifty five additional positions statewide, offset partially by reduced overtime and lower recruitment and training churn from improved retention.</w:t>
      </w:r>
    </w:p>
    <w:p>
      <w:r>
        <w:rPr>
          <w:b/>
          <w:sz w:val="30"/>
        </w:rPr>
        <w:t>5. Open questions for the next draft</w:t>
      </w:r>
    </w:p>
    <w:p>
      <w:pPr>
        <w:pStyle w:val="ListBullet"/>
      </w:pPr>
      <w:r>
        <w:t>Tighten the per state comparison table.</w:t>
      </w:r>
    </w:p>
    <w:p>
      <w:pPr>
        <w:pStyle w:val="ListBullet"/>
      </w:pPr>
      <w:r>
        <w:t>Add two front line worker narratives, de-identified.</w:t>
      </w:r>
    </w:p>
    <w:p>
      <w:pPr>
        <w:pStyle w:val="ListBullet"/>
      </w:pPr>
      <w:r>
        <w:t>Confirm the latest turnover figure with the coalition.</w:t>
      </w:r>
    </w:p>
    <w:p>
      <w:r>
        <w:t>Next milestone: final draft due November 1, 2026, ahead of testimony at the Capitol on November 19, 2026, and public release on February 6,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2026-02-10T09:00:00Z</dcterms:created>
  <dcterms:modified xsi:type="dcterms:W3CDTF">2026-02-10T09:00:00Z</dcterms:modified>
  <cp:category/>
  <cp:contentStatus/>
</cp:coreProperties>
</file>