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Written Testimony to the Committee on Children</w:t>
      </w:r>
    </w:p>
    <w:p>
      <w:r>
        <w:t>Submitted by Kelly Nelson, Co-Founder, Hartford Foster Futures</w:t>
      </w:r>
    </w:p>
    <w:p>
      <w:r>
        <w:t>Public hearing on caseload standards, February 2026</w:t>
      </w:r>
    </w:p>
    <w:p>
      <w:r>
        <w:rPr>
          <w:b/>
          <w:sz w:val="30"/>
        </w:rPr>
        <w:t>Introduction</w:t>
      </w:r>
    </w:p>
    <w:p>
      <w:r>
        <w:t>Good morning, Chairs and members of the committee. Thank you for raising this bill. I come to you wearing two hats, as someone who has spent years in front line child welfare here in Hartford, and as a co-founder of a small group that walks alongside young people after the system has touched their lives.</w:t>
      </w:r>
    </w:p>
    <w:p>
      <w:r>
        <w:rPr>
          <w:b/>
          <w:sz w:val="30"/>
        </w:rPr>
        <w:t>What a caseload number means</w:t>
      </w:r>
    </w:p>
    <w:p>
      <w:r>
        <w:t>I want to be plain about what a number on a caseload sheet actually means. Each case is a family in the hardest week of their life. The difference between twelve and twenty is the difference between knowing a child by name and managing a queue. I currently carry eighteen active families, above the recommended ceiling of fifteen, and I can tell you exactly what gets cut when the day runs short. It is never the crisis. It is the slow, relational work that prevents the next crisis.</w:t>
      </w:r>
    </w:p>
    <w:p>
      <w:r>
        <w:rPr>
          <w:b/>
          <w:sz w:val="30"/>
        </w:rPr>
        <w:t>The cost to the workforce</w:t>
      </w:r>
    </w:p>
    <w:p>
      <w:r>
        <w:t>I am not here to tell you the people doing this work are not trying. They are trying so hard it is costing them their health. Turnover is not a character problem, it is a math problem. When a worker leaves, every child on that caseload loses the one adult who knew their story, and a placement that was holding can come apart in a week.</w:t>
      </w:r>
    </w:p>
    <w:p>
      <w:r>
        <w:rPr>
          <w:b/>
          <w:sz w:val="30"/>
        </w:rPr>
        <w:t>The ask</w:t>
      </w:r>
    </w:p>
    <w:p>
      <w:r>
        <w:t>This bill puts a floor under the children and the workers both. I respectfully urge the committee to advance a statutory caseload cap of twelve active investigations per worker, phased over twenty four months, with an annual staffing plan reported to the legislature. I am glad to answer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2026-02-10T09:00:00Z</dcterms:created>
  <dcterms:modified xsi:type="dcterms:W3CDTF">2026-02-10T09:00:00Z</dcterms:modified>
  <cp:category/>
  <cp:contentStatus/>
</cp:coreProperties>
</file>