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Free Saturday Walk-in Clinic, Playbook</w:t>
      </w:r>
    </w:p>
    <w:p>
      <w:r>
        <w:rPr>
          <w:color w:val="000000"/>
        </w:rPr>
        <w:t>Little Stars Pediatrics. Quarterly, 9:00 AM to 1:00 PM. Uninsured families.</w:t>
      </w:r>
    </w:p>
    <w:p>
      <w:r>
        <w:rPr>
          <w:b/>
          <w:color w:val="000000"/>
          <w:sz w:val="25"/>
        </w:rPr>
        <w:t>Before the Day</w:t>
      </w:r>
    </w:p>
    <w:p>
      <w:pPr>
        <w:pStyle w:val="ListBullet"/>
      </w:pPr>
      <w:r>
        <w:rPr>
          <w:color w:val="000000"/>
        </w:rPr>
        <w:t>Announce on Mailchimp and ActiveCampaign to the opted-in family list</w:t>
      </w:r>
    </w:p>
    <w:p>
      <w:pPr>
        <w:pStyle w:val="ListBullet"/>
      </w:pPr>
      <w:r>
        <w:rPr>
          <w:color w:val="000000"/>
        </w:rPr>
        <w:t>Confirm interpreter coverage with Ana (Spanish, Mandarin, Bengali)</w:t>
      </w:r>
    </w:p>
    <w:p>
      <w:pPr>
        <w:pStyle w:val="ListBullet"/>
      </w:pPr>
      <w:r>
        <w:rPr>
          <w:color w:val="000000"/>
        </w:rPr>
        <w:t>Stock vaccines and rapid tests; check cold chain (FedEx delivery)</w:t>
      </w:r>
    </w:p>
    <w:p>
      <w:pPr>
        <w:pStyle w:val="ListBullet"/>
      </w:pPr>
      <w:r>
        <w:rPr>
          <w:color w:val="000000"/>
        </w:rPr>
        <w:t>Print bilingual intake forms and referral sheets</w:t>
      </w:r>
    </w:p>
    <w:p>
      <w:r>
        <w:rPr>
          <w:b/>
          <w:color w:val="000000"/>
          <w:sz w:val="25"/>
        </w:rPr>
        <w:t>Day Of</w:t>
      </w:r>
    </w:p>
    <w:p>
      <w:pPr>
        <w:pStyle w:val="ListBullet"/>
      </w:pPr>
      <w:r>
        <w:rPr>
          <w:color w:val="000000"/>
        </w:rPr>
        <w:t>Front desk: Carmen runs flow and the sign-in (Typeform)</w:t>
      </w:r>
    </w:p>
    <w:p>
      <w:pPr>
        <w:pStyle w:val="ListBullet"/>
      </w:pPr>
      <w:r>
        <w:rPr>
          <w:color w:val="000000"/>
        </w:rPr>
        <w:t>Rooms: Maria preps, Linda sees, Ana interprets</w:t>
      </w:r>
    </w:p>
    <w:p>
      <w:pPr>
        <w:pStyle w:val="ListBullet"/>
      </w:pPr>
      <w:r>
        <w:rPr>
          <w:color w:val="000000"/>
        </w:rPr>
        <w:t>Track de-identified counts only: families seen, new families, referrals</w:t>
      </w:r>
    </w:p>
    <w:p>
      <w:r>
        <w:rPr>
          <w:b/>
          <w:color w:val="000000"/>
          <w:sz w:val="25"/>
        </w:rPr>
        <w:t>After</w:t>
      </w:r>
    </w:p>
    <w:p>
      <w:pPr>
        <w:pStyle w:val="ListBullet"/>
      </w:pPr>
      <w:r>
        <w:rPr>
          <w:color w:val="000000"/>
        </w:rPr>
        <w:t>Make warm referrals for follow-up care and insurance enrollment</w:t>
      </w:r>
    </w:p>
    <w:p>
      <w:pPr>
        <w:pStyle w:val="ListBullet"/>
      </w:pPr>
      <w:r>
        <w:rPr>
          <w:color w:val="000000"/>
        </w:rPr>
        <w:t>Log outcomes in the free-clinic playbook (Notion), de-identified</w:t>
      </w:r>
    </w:p>
    <w:p>
      <w:pPr>
        <w:pStyle w:val="ListBullet"/>
      </w:pPr>
      <w:r>
        <w:rPr>
          <w:color w:val="000000"/>
        </w:rPr>
        <w:t>Thank the volunteers; set the next quarterly date</w:t>
      </w:r>
    </w:p>
    <w:p>
      <w:r>
        <w:rPr>
          <w:color w:val="000000"/>
        </w:rPr>
        <w:t>This is a vocation Linda calls a hobby because the math does not work. Keep it sustainable.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