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Pediatric Grand Rounds, Talk Outline</w:t>
      </w:r>
    </w:p>
    <w:p>
      <w:r>
        <w:rPr>
          <w:color w:val="000000"/>
        </w:rPr>
        <w:t>Bicultural Care for Immigrant Families. Mount Sinai, December 15, 2026. Linda Cruz, MD.</w:t>
      </w:r>
    </w:p>
    <w:p>
      <w:r>
        <w:rPr>
          <w:b/>
          <w:color w:val="000000"/>
          <w:sz w:val="25"/>
        </w:rPr>
        <w:t>Thesis</w:t>
      </w:r>
    </w:p>
    <w:p>
      <w:r>
        <w:rPr>
          <w:color w:val="000000"/>
        </w:rPr>
        <w:t>Culturally responsive pediatric care is not a soft add-on. It changes adherence, trust, and outcomes in immigrant-dense panels. This talk draws on four years of solo practice in Jackson Heights.</w:t>
      </w:r>
    </w:p>
    <w:p>
      <w:r>
        <w:rPr>
          <w:b/>
          <w:color w:val="000000"/>
          <w:sz w:val="25"/>
        </w:rPr>
        <w:t>Outline</w:t>
      </w:r>
    </w:p>
    <w:p>
      <w:pPr>
        <w:pStyle w:val="ListBullet"/>
      </w:pPr>
      <w:r>
        <w:rPr>
          <w:color w:val="000000"/>
        </w:rPr>
        <w:t>The exam room as a cultural negotiation: who speaks, who decides, who interprets</w:t>
      </w:r>
    </w:p>
    <w:p>
      <w:pPr>
        <w:pStyle w:val="ListBullet"/>
      </w:pPr>
      <w:r>
        <w:rPr>
          <w:color w:val="000000"/>
        </w:rPr>
        <w:t>Language access beyond translation: the interpreter network and bilingual intake</w:t>
      </w:r>
    </w:p>
    <w:p>
      <w:pPr>
        <w:pStyle w:val="ListBullet"/>
      </w:pPr>
      <w:r>
        <w:rPr>
          <w:color w:val="000000"/>
        </w:rPr>
        <w:t>Vaccine conversations across cultures without losing the family</w:t>
      </w:r>
    </w:p>
    <w:p>
      <w:pPr>
        <w:pStyle w:val="ListBullet"/>
      </w:pPr>
      <w:r>
        <w:rPr>
          <w:color w:val="000000"/>
        </w:rPr>
        <w:t>Sliding-scale and Medicaid realities: access as clinical care</w:t>
      </w:r>
    </w:p>
    <w:p>
      <w:pPr>
        <w:pStyle w:val="ListBullet"/>
      </w:pPr>
      <w:r>
        <w:rPr>
          <w:color w:val="000000"/>
        </w:rPr>
        <w:t>Case vignettes (fully de-identified) from a Medicaid-heavy panel</w:t>
      </w:r>
    </w:p>
    <w:p>
      <w:pPr>
        <w:pStyle w:val="ListBullet"/>
      </w:pPr>
      <w:r>
        <w:rPr>
          <w:color w:val="000000"/>
        </w:rPr>
        <w:t>What residents can carry into any outpatient setting</w:t>
      </w:r>
    </w:p>
    <w:p>
      <w:r>
        <w:rPr>
          <w:b/>
          <w:color w:val="000000"/>
          <w:sz w:val="25"/>
        </w:rPr>
        <w:t>Takeaways</w:t>
      </w:r>
    </w:p>
    <w:p>
      <w:pPr>
        <w:pStyle w:val="ListBullet"/>
      </w:pPr>
      <w:r>
        <w:rPr>
          <w:color w:val="000000"/>
        </w:rPr>
        <w:t>Meet the family at their register, then bring them to the plan</w:t>
      </w:r>
    </w:p>
    <w:p>
      <w:pPr>
        <w:pStyle w:val="ListBullet"/>
      </w:pPr>
      <w:r>
        <w:rPr>
          <w:color w:val="000000"/>
        </w:rPr>
        <w:t>Trust is built in the first ninety seconds and the waiting room</w:t>
      </w:r>
    </w:p>
    <w:p>
      <w:pPr>
        <w:pStyle w:val="ListBullet"/>
      </w:pPr>
      <w:r>
        <w:rPr>
          <w:color w:val="000000"/>
        </w:rPr>
        <w:t>Access barriers are clinical problems, not administrative ones</w:t>
      </w:r>
    </w:p>
    <w:p>
      <w:r>
        <w:rPr>
          <w:color w:val="000000"/>
        </w:rPr>
        <w:t>All cases de-identified. No patient-identifying material in slides or handouts. HIPAA absolute.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