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1A"/>
          <w:sz w:val="34"/>
        </w:rPr>
        <w:t>Monthly call: agenda</w:t>
      </w:r>
    </w:p>
    <w:p>
      <w:r>
        <w:rPr>
          <w:i/>
          <w:color w:val="5B6266"/>
          <w:sz w:val="19"/>
        </w:rPr>
        <w:t>Standing monthly video call with Priscilla Deng. Second Saturday. Keep it to her questions first, my observations second. She is sharp and impatient, which I recognise.</w:t>
      </w:r>
    </w:p>
    <w:p>
      <w:pPr>
        <w:spacing w:before="220" w:after="60"/>
      </w:pPr>
      <w:r>
        <w:rPr>
          <w:b/>
          <w:color w:val="1A1A1A"/>
          <w:sz w:val="24"/>
        </w:rPr>
        <w:t>Topics she raised</w:t>
      </w:r>
    </w:p>
    <w:p>
      <w:pPr>
        <w:pStyle w:val="ListBullet"/>
        <w:spacing w:after="40"/>
      </w:pPr>
      <w:r>
        <w:t>Whether to take the tech lead offer or stay an IC for another cycle.</w:t>
      </w:r>
    </w:p>
    <w:p>
      <w:pPr>
        <w:pStyle w:val="ListBullet"/>
        <w:spacing w:after="40"/>
      </w:pPr>
      <w:r>
        <w:t>A manager who reorganised her team without telling her first.</w:t>
      </w:r>
    </w:p>
    <w:p>
      <w:pPr>
        <w:pStyle w:val="ListBullet"/>
        <w:spacing w:after="40"/>
      </w:pPr>
      <w:r>
        <w:t>How to tell whether she is being groomed or parked.</w:t>
      </w:r>
    </w:p>
    <w:p>
      <w:pPr>
        <w:pStyle w:val="ListBullet"/>
        <w:spacing w:after="40"/>
      </w:pPr>
      <w:r>
        <w:t>Whether the political part of the job is learnable or just endured.</w:t>
      </w:r>
    </w:p>
    <w:p>
      <w:pPr>
        <w:spacing w:before="220" w:after="60"/>
      </w:pPr>
      <w:r>
        <w:rPr>
          <w:b/>
          <w:color w:val="1A1A1A"/>
          <w:sz w:val="24"/>
        </w:rPr>
        <w:t>What I want to say, carefully</w:t>
      </w:r>
    </w:p>
    <w:p>
      <w:pPr>
        <w:spacing w:after="100"/>
        <w:jc w:val="left"/>
      </w:pPr>
      <w:r>
        <w:t>She thinks the political part is a tax on the real work. I thought that too, for about fifteen years, and it cost me two promotions I did not understand losing at the time. The political part is the work. It is how decisions actually get made when the evidence is ambiguous, which is most of the time. That is not cynicism, it is just the shape of the thing.</w:t>
      </w:r>
    </w:p>
    <w:p>
      <w:pPr>
        <w:spacing w:after="100"/>
        <w:jc w:val="left"/>
      </w:pPr>
      <w:r>
        <w:t>But I am not going to say it like that, because said like that it sounds like surrender. Better to give her the specific case: the reorganisation she is angry about probably happened in three conversations she was not in, and the useful question is not whether that was fair but how someone gets into those conversations.</w:t>
      </w:r>
    </w:p>
    <w:p>
      <w:pPr>
        <w:spacing w:before="220" w:after="60"/>
      </w:pPr>
      <w:r>
        <w:rPr>
          <w:b/>
          <w:color w:val="1A1A1A"/>
          <w:sz w:val="24"/>
        </w:rPr>
        <w:t>The lead offer</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9"/>
              </w:rPr>
              <w:t>Consideration</w:t>
            </w:r>
          </w:p>
        </w:tc>
        <w:tc>
          <w:tcPr>
            <w:tcW w:type="dxa" w:w="4824"/>
          </w:tcPr>
          <w:p>
            <w:r/>
            <w:r>
              <w:rPr>
                <w:b/>
                <w:sz w:val="19"/>
              </w:rPr>
              <w:t>My read</w:t>
            </w:r>
          </w:p>
        </w:tc>
      </w:tr>
      <w:tr>
        <w:tc>
          <w:tcPr>
            <w:tcW w:type="dxa" w:w="4824"/>
          </w:tcPr>
          <w:p>
            <w:r/>
            <w:r>
              <w:rPr>
                <w:sz w:val="19"/>
              </w:rPr>
              <w:t>Does she want to lead?</w:t>
            </w:r>
          </w:p>
        </w:tc>
        <w:tc>
          <w:tcPr>
            <w:tcW w:type="dxa" w:w="4824"/>
          </w:tcPr>
          <w:p>
            <w:r/>
            <w:r>
              <w:rPr>
                <w:sz w:val="19"/>
              </w:rPr>
              <w:t>She wants to be trusted. Not the same thing. Worth separating.</w:t>
            </w:r>
          </w:p>
        </w:tc>
      </w:tr>
      <w:tr>
        <w:tc>
          <w:tcPr>
            <w:tcW w:type="dxa" w:w="4824"/>
          </w:tcPr>
          <w:p>
            <w:r/>
            <w:r>
              <w:rPr>
                <w:sz w:val="19"/>
              </w:rPr>
              <w:t>Is she ready technically?</w:t>
            </w:r>
          </w:p>
        </w:tc>
        <w:tc>
          <w:tcPr>
            <w:tcW w:type="dxa" w:w="4824"/>
          </w:tcPr>
          <w:p>
            <w:r/>
            <w:r>
              <w:rPr>
                <w:sz w:val="19"/>
              </w:rPr>
              <w:t>Yes, and has been for a year.</w:t>
            </w:r>
          </w:p>
        </w:tc>
      </w:tr>
      <w:tr>
        <w:tc>
          <w:tcPr>
            <w:tcW w:type="dxa" w:w="4824"/>
          </w:tcPr>
          <w:p>
            <w:r/>
            <w:r>
              <w:rPr>
                <w:sz w:val="19"/>
              </w:rPr>
              <w:t>Is the team the right one?</w:t>
            </w:r>
          </w:p>
        </w:tc>
        <w:tc>
          <w:tcPr>
            <w:tcW w:type="dxa" w:w="4824"/>
          </w:tcPr>
          <w:p>
            <w:r/>
            <w:r>
              <w:rPr>
                <w:sz w:val="19"/>
              </w:rPr>
              <w:t>Unclear. A first lead role on a bad team teaches the wrong lessons.</w:t>
            </w:r>
          </w:p>
        </w:tc>
      </w:tr>
      <w:tr>
        <w:tc>
          <w:tcPr>
            <w:tcW w:type="dxa" w:w="4824"/>
          </w:tcPr>
          <w:p>
            <w:r/>
            <w:r>
              <w:rPr>
                <w:sz w:val="19"/>
              </w:rPr>
              <w:t>What does she lose?</w:t>
            </w:r>
          </w:p>
        </w:tc>
        <w:tc>
          <w:tcPr>
            <w:tcW w:type="dxa" w:w="4824"/>
          </w:tcPr>
          <w:p>
            <w:r/>
            <w:r>
              <w:rPr>
                <w:sz w:val="19"/>
              </w:rPr>
              <w:t>The deep work. That is real and nobody warns you.</w:t>
            </w:r>
          </w:p>
        </w:tc>
      </w:tr>
      <w:tr>
        <w:tc>
          <w:tcPr>
            <w:tcW w:type="dxa" w:w="4824"/>
          </w:tcPr>
          <w:p>
            <w:r/>
            <w:r>
              <w:rPr>
                <w:sz w:val="19"/>
              </w:rPr>
              <w:t>What would I say if pushed?</w:t>
            </w:r>
          </w:p>
        </w:tc>
        <w:tc>
          <w:tcPr>
            <w:tcW w:type="dxa" w:w="4824"/>
          </w:tcPr>
          <w:p>
            <w:r/>
            <w:r>
              <w:rPr>
                <w:sz w:val="19"/>
              </w:rPr>
              <w:t>Take it, but with a named mentor inside her own company, not just me.</w:t>
            </w:r>
          </w:p>
        </w:tc>
      </w:tr>
    </w:tbl>
    <w:p/>
    <w:p>
      <w:pPr>
        <w:spacing w:before="220" w:after="60"/>
      </w:pPr>
      <w:r>
        <w:rPr>
          <w:b/>
          <w:color w:val="1A1A1A"/>
          <w:sz w:val="24"/>
        </w:rPr>
        <w:t>Boundaries on this call</w:t>
      </w:r>
    </w:p>
    <w:p>
      <w:pPr>
        <w:pStyle w:val="ListBullet"/>
        <w:spacing w:after="40"/>
      </w:pPr>
      <w:r>
        <w:t>Her career questions stay between us. Nothing goes outside the program.</w:t>
      </w:r>
    </w:p>
    <w:p>
      <w:pPr>
        <w:pStyle w:val="ListBullet"/>
        <w:spacing w:after="40"/>
      </w:pPr>
      <w:r>
        <w:t>I do not know her manager and I am not going to have an opinion about him by name.</w:t>
      </w:r>
    </w:p>
    <w:p>
      <w:pPr>
        <w:pStyle w:val="ListBullet"/>
        <w:spacing w:after="40"/>
      </w:pPr>
      <w:r>
        <w:t>No introductions to anyone at Crescent Peak. That is not what this is.</w:t>
      </w:r>
    </w:p>
    <w:p>
      <w:pPr>
        <w:spacing w:before="220" w:after="60"/>
      </w:pPr>
      <w:r>
        <w:rPr>
          <w:b/>
          <w:color w:val="1A1A1A"/>
          <w:sz w:val="24"/>
        </w:rPr>
        <w:t>To ask her</w:t>
      </w:r>
    </w:p>
    <w:p>
      <w:pPr>
        <w:pStyle w:val="ListBullet"/>
        <w:spacing w:after="40"/>
      </w:pPr>
      <w:r>
        <w:t>What she would do with three months off. I am curious what a twenty-nine year old says to that.</w:t>
      </w:r>
    </w:p>
    <w:p>
      <w:pPr>
        <w:pStyle w:val="ListBullet"/>
        <w:spacing w:after="40"/>
      </w:pPr>
      <w:r>
        <w:t>Whether the reading list landed. She said she would start the Kidder.</w:t>
      </w:r>
    </w:p>
    <w:p>
      <w:pPr>
        <w:pStyle w:val="ListBullet"/>
        <w:spacing w:after="40"/>
      </w:pPr>
      <w:r>
        <w:t>Whether the monthly cadence still works or whether it should be six weeks.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