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1A1A"/>
          <w:sz w:val="34"/>
        </w:rPr>
        <w:t>Notes: The Information</w:t>
      </w:r>
    </w:p>
    <w:p>
      <w:r>
        <w:rPr>
          <w:i/>
          <w:color w:val="5B6266"/>
          <w:sz w:val="19"/>
        </w:rPr>
        <w:t>James Gleick. Read on the e-reader, second pass. Notes for the reading log and for myself. The thread that made it worth rereading is the one about how each generation thinks its own medium is the natural one.</w:t>
      </w:r>
    </w:p>
    <w:p>
      <w:pPr>
        <w:spacing w:before="220" w:after="60"/>
      </w:pPr>
      <w:r>
        <w:rPr>
          <w:b/>
          <w:color w:val="1A1A1A"/>
          <w:sz w:val="24"/>
        </w:rPr>
        <w:t>Marginalia</w:t>
      </w:r>
    </w:p>
    <w:p>
      <w:pPr>
        <w:spacing w:after="100"/>
        <w:jc w:val="left"/>
      </w:pPr>
      <w:r>
        <w:t>The African talking drums chapter is the one people remember and they remember it for the wrong reason. It is not a curiosity. It is the cleanest demonstration in the book that redundancy is what makes a channel survive noise, and that every culture that has ever had to send a message through a lossy medium discovered the same trick independently. The drummers pad the message with formulaic phrases. That is error correction, invented centuries before anyone had the mathematics for it.</w:t>
      </w:r>
    </w:p>
    <w:p>
      <w:pPr>
        <w:spacing w:after="100"/>
        <w:jc w:val="left"/>
      </w:pPr>
      <w:r>
        <w:t>Second pass I noticed how much of the book is really about the resistance to each new encoding. The telegraph was going to destroy prose. The telephone was going to destroy letters. Every time, the objection is that the new medium is thin, and every time the objection is half right and entirely beside the point.</w:t>
      </w:r>
    </w:p>
    <w:p>
      <w:pPr>
        <w:spacing w:before="220" w:after="60"/>
      </w:pPr>
      <w:r>
        <w:rPr>
          <w:b/>
          <w:color w:val="1A1A1A"/>
          <w:sz w:val="24"/>
        </w:rPr>
        <w:t>Passages worth keeping</w:t>
      </w:r>
    </w:p>
    <w:tbl>
      <w:tblPr>
        <w:tblStyle w:val="LightGrid-Accent1"/>
        <w:tblW w:type="auto" w:w="0"/>
        <w:tblLook w:firstColumn="1" w:firstRow="1" w:lastColumn="0" w:lastRow="0" w:noHBand="0" w:noVBand="1" w:val="04A0"/>
      </w:tblPr>
      <w:tblGrid>
        <w:gridCol w:w="4824"/>
        <w:gridCol w:w="4824"/>
      </w:tblGrid>
      <w:tr>
        <w:tc>
          <w:tcPr>
            <w:tcW w:type="dxa" w:w="4824"/>
          </w:tcPr>
          <w:p>
            <w:r/>
            <w:r>
              <w:rPr>
                <w:b/>
                <w:sz w:val="19"/>
              </w:rPr>
              <w:t>Idea</w:t>
            </w:r>
          </w:p>
        </w:tc>
        <w:tc>
          <w:tcPr>
            <w:tcW w:type="dxa" w:w="4824"/>
          </w:tcPr>
          <w:p>
            <w:r/>
            <w:r>
              <w:rPr>
                <w:b/>
                <w:sz w:val="19"/>
              </w:rPr>
              <w:t>Why it stuck</w:t>
            </w:r>
          </w:p>
        </w:tc>
      </w:tr>
      <w:tr>
        <w:tc>
          <w:tcPr>
            <w:tcW w:type="dxa" w:w="4824"/>
          </w:tcPr>
          <w:p>
            <w:r/>
            <w:r>
              <w:rPr>
                <w:sz w:val="19"/>
              </w:rPr>
              <w:t>Information is physical</w:t>
            </w:r>
          </w:p>
        </w:tc>
        <w:tc>
          <w:tcPr>
            <w:tcW w:type="dxa" w:w="4824"/>
          </w:tcPr>
          <w:p>
            <w:r/>
            <w:r>
              <w:rPr>
                <w:sz w:val="19"/>
              </w:rPr>
              <w:t>It costs energy to erase. That is not a metaphor and it took me a second read to feel it.</w:t>
            </w:r>
          </w:p>
        </w:tc>
      </w:tr>
      <w:tr>
        <w:tc>
          <w:tcPr>
            <w:tcW w:type="dxa" w:w="4824"/>
          </w:tcPr>
          <w:p>
            <w:r/>
            <w:r>
              <w:rPr>
                <w:sz w:val="19"/>
              </w:rPr>
              <w:t>Redundancy defeats noise</w:t>
            </w:r>
          </w:p>
        </w:tc>
        <w:tc>
          <w:tcPr>
            <w:tcW w:type="dxa" w:w="4824"/>
          </w:tcPr>
          <w:p>
            <w:r/>
            <w:r>
              <w:rPr>
                <w:sz w:val="19"/>
              </w:rPr>
              <w:t>The drums. Also why good documentation repeats itself and should.</w:t>
            </w:r>
          </w:p>
        </w:tc>
      </w:tr>
      <w:tr>
        <w:tc>
          <w:tcPr>
            <w:tcW w:type="dxa" w:w="4824"/>
          </w:tcPr>
          <w:p>
            <w:r/>
            <w:r>
              <w:rPr>
                <w:sz w:val="19"/>
              </w:rPr>
              <w:t>The catalogue is the hard part</w:t>
            </w:r>
          </w:p>
        </w:tc>
        <w:tc>
          <w:tcPr>
            <w:tcW w:type="dxa" w:w="4824"/>
          </w:tcPr>
          <w:p>
            <w:r/>
            <w:r>
              <w:rPr>
                <w:sz w:val="19"/>
              </w:rPr>
              <w:t>Every archive problem is a naming problem. True of filesystems too.</w:t>
            </w:r>
          </w:p>
        </w:tc>
      </w:tr>
      <w:tr>
        <w:tc>
          <w:tcPr>
            <w:tcW w:type="dxa" w:w="4824"/>
          </w:tcPr>
          <w:p>
            <w:r/>
            <w:r>
              <w:rPr>
                <w:sz w:val="19"/>
              </w:rPr>
              <w:t>Shannon separated meaning from transmission</w:t>
            </w:r>
          </w:p>
        </w:tc>
        <w:tc>
          <w:tcPr>
            <w:tcW w:type="dxa" w:w="4824"/>
          </w:tcPr>
          <w:p>
            <w:r/>
            <w:r>
              <w:rPr>
                <w:sz w:val="19"/>
              </w:rPr>
              <w:t>The move that made the century possible, and the one people still resent.</w:t>
            </w:r>
          </w:p>
        </w:tc>
      </w:tr>
      <w:tr>
        <w:tc>
          <w:tcPr>
            <w:tcW w:type="dxa" w:w="4824"/>
          </w:tcPr>
          <w:p>
            <w:r/>
            <w:r>
              <w:rPr>
                <w:sz w:val="19"/>
              </w:rPr>
              <w:t>Entropy as surprise</w:t>
            </w:r>
          </w:p>
        </w:tc>
        <w:tc>
          <w:tcPr>
            <w:tcW w:type="dxa" w:w="4824"/>
          </w:tcPr>
          <w:p>
            <w:r/>
            <w:r>
              <w:rPr>
                <w:sz w:val="19"/>
              </w:rPr>
              <w:t>The most useful reframing in the book.</w:t>
            </w:r>
          </w:p>
        </w:tc>
      </w:tr>
    </w:tbl>
    <w:p/>
    <w:p>
      <w:pPr>
        <w:spacing w:before="220" w:after="60"/>
      </w:pPr>
      <w:r>
        <w:rPr>
          <w:b/>
          <w:color w:val="1A1A1A"/>
          <w:sz w:val="24"/>
        </w:rPr>
        <w:t>Where it connects</w:t>
      </w:r>
    </w:p>
    <w:p>
      <w:pPr>
        <w:pStyle w:val="ListBullet"/>
        <w:spacing w:after="40"/>
      </w:pPr>
      <w:r>
        <w:t>The path tool is a naming problem wearing a performance costume. Gleick would recognise it.</w:t>
      </w:r>
    </w:p>
    <w:p>
      <w:pPr>
        <w:pStyle w:val="ListBullet"/>
        <w:spacing w:after="40"/>
      </w:pPr>
      <w:r>
        <w:t>Shannon separating meaning from transmission is the same move as separating an interface from its implementation.</w:t>
      </w:r>
    </w:p>
    <w:p>
      <w:pPr>
        <w:pStyle w:val="ListBullet"/>
        <w:spacing w:after="40"/>
      </w:pPr>
      <w:r>
        <w:t>The chapter on Babbage and Lovelace pairs well with the Hodges biography of Turing.</w:t>
      </w:r>
    </w:p>
    <w:p>
      <w:pPr>
        <w:pStyle w:val="ListBullet"/>
        <w:spacing w:after="40"/>
      </w:pPr>
      <w:r>
        <w:t>McGilchrist is arguing with this book without naming it. Worth reading them close together.</w:t>
      </w:r>
    </w:p>
    <w:p>
      <w:pPr>
        <w:spacing w:before="220" w:after="60"/>
      </w:pPr>
      <w:r>
        <w:rPr>
          <w:b/>
          <w:color w:val="1A1A1A"/>
          <w:sz w:val="24"/>
        </w:rPr>
        <w:t>Rating and disposition</w:t>
      </w:r>
    </w:p>
    <w:p>
      <w:pPr>
        <w:spacing w:after="100"/>
        <w:jc w:val="left"/>
      </w:pPr>
      <w:r>
        <w:t>Four out of five, same as the first pass. It loses a point for the last two chapters, which reach for a conclusion the material does not need. The first two thirds are as good as popular science gets. Keeping it on the shelf; it will get a third pass eventually.</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