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r8tez834n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Mental Health in Tech – Key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1sxolz893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Gender vs Treatment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Females are more likely to seek mental health treatment compared to males.</w:t>
        <w:br w:type="textWrapping"/>
        <w:t xml:space="preserve"> This indicates higher openness and awareness among female employees.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98jwqi4eg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Family History vs Treatment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Individuals with a family history of mental illness are significantly more likely to seek treatment.</w:t>
        <w:br w:type="textWrapping"/>
        <w:t xml:space="preserve"> Personal exposure leads to early awareness and reduced stigma.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hfcd48x1t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Remote Work vs Work Interference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Remote workers report less work interference due to mental health conditions.</w:t>
        <w:br w:type="textWrapping"/>
        <w:t xml:space="preserve"> This shows that flexibility in work style can improve employee well-being.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ylogez43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Company Size vs Mental Health Benefits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Larger companies are more likely to provide structured mental health benefits.</w:t>
        <w:br w:type="textWrapping"/>
        <w:t xml:space="preserve"> Smaller firms often lack clear policies or fail to communicate them well.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phvv8zlxx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Work Interfere vs Treatment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who report frequent interference due to mental health are more likely to seek treatment.</w:t>
        <w:br w:type="textWrapping"/>
        <w:t xml:space="preserve"> The greater the impact, the higher the motivation to take action.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ppt3udp12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Consequence vs Supervisor Discussion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Fear of negative consequences prevents employees from discussing mental health with supervisors.</w:t>
        <w:br w:type="textWrapping"/>
        <w:t xml:space="preserve"> Creating a stigma-free environment is essential for open dialogue.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