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left"/>
      </w:pPr>
      <w:r>
        <w:rPr>
          <w:b/>
          <w:color w:val="1769AA"/>
          <w:sz w:val="24"/>
        </w:rPr>
        <w:t>SALES CLOUD</w:t>
      </w:r>
    </w:p>
    <w:p>
      <w:pPr>
        <w:pStyle w:val="Title"/>
      </w:pPr>
      <w:r>
        <w:t>Demo Guide</w:t>
      </w:r>
    </w:p>
    <w:p>
      <w:pPr>
        <w:spacing w:before="160"/>
      </w:pPr>
      <w:r>
        <w:rPr>
          <w:color w:val="5A6676"/>
          <w:sz w:val="26"/>
        </w:rPr>
        <w:t>A practical walkthrough for demonstrating opportunities, team ownership, quotations, invoices and supporting files.</w:t>
      </w:r>
    </w:p>
    <w:p/>
    <w:tbl>
      <w:tblPr>
        <w:tblW w:type="auto" w:w="0"/>
        <w:jc w:val="left"/>
        <w:tblLayout w:type="autofit"/>
        <w:tblLook w:firstColumn="1" w:firstRow="1" w:lastColumn="0" w:lastRow="0" w:noHBand="0" w:noVBand="1" w:val="04A0"/>
      </w:tblPr>
      <w:tblGrid>
        <w:gridCol w:w="9936"/>
      </w:tblGrid>
      <w:tr>
        <w:tc>
          <w:tcPr>
            <w:tcW w:type="dxa" w:w="9936"/>
            <w:shd w:fill="EAF2FA"/>
            <w:vAlign w:val="center"/>
          </w:tcPr>
          <w:p>
            <w:pPr>
              <w:spacing w:after="40"/>
            </w:pPr>
            <w:r/>
            <w:r>
              <w:rPr>
                <w:b w:val="0"/>
                <w:color w:val="123B67"/>
                <w:sz w:val="20"/>
              </w:rPr>
              <w:t>DEMO GOAL</w:t>
              <w:br/>
              <w:t>Show how Sales Cloud helps a team manage opportunities from assignment through quotation and invoicing, while keeping ownership and supporting documents visible.</w:t>
            </w:r>
          </w:p>
        </w:tc>
      </w:tr>
    </w:tbl>
    <w:p/>
    <w:p>
      <w:pPr>
        <w:pStyle w:val="Heading1"/>
      </w:pPr>
      <w:r>
        <w:t>1. Before you start</w:t>
      </w:r>
    </w:p>
    <w:p>
      <w:pPr>
        <w:pStyle w:val="ListBullet"/>
        <w:spacing w:after="60"/>
      </w:pPr>
      <w:r>
        <w:t>Sign in using the appropriate demo account. Prepare an Admin, CEO and Sales Rep account if you want to demonstrate role-based access.</w:t>
      </w:r>
    </w:p>
    <w:p>
      <w:pPr>
        <w:pStyle w:val="ListBullet"/>
        <w:spacing w:after="60"/>
      </w:pPr>
      <w:r>
        <w:t>Use sample customer and deal information only. Avoid showing real customer, financial or personal data.</w:t>
      </w:r>
    </w:p>
    <w:p>
      <w:pPr>
        <w:pStyle w:val="ListBullet"/>
        <w:spacing w:after="60"/>
      </w:pPr>
      <w:r>
        <w:t>Prepare one sample opportunity with a clear name, company, amount, stage, expected close date and assigned representative.</w:t>
      </w:r>
    </w:p>
    <w:p>
      <w:pPr>
        <w:pStyle w:val="ListBullet"/>
        <w:spacing w:after="60"/>
      </w:pPr>
      <w:r>
        <w:t>Have a sample quotation and invoice number ready, or create them during the walkthrough if the workflow is enabled.</w:t>
      </w:r>
    </w:p>
    <w:p>
      <w:pPr>
        <w:pStyle w:val="ListBullet"/>
        <w:spacing w:after="60"/>
      </w:pPr>
      <w:r>
        <w:t>Prepare a few sample files (for example, a proposal PDF, product brochure and requirements document) for the attachment demonstration.</w:t>
      </w:r>
    </w:p>
    <w:p>
      <w:pPr>
        <w:pStyle w:val="Heading1"/>
      </w:pPr>
      <w:r>
        <w:t>2. Suggested demo flow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B67"/>
          </w:tcPr>
          <w:p>
            <w:pPr>
              <w:spacing w:after="40"/>
            </w:pPr>
            <w:r/>
            <w:r>
              <w:rPr>
                <w:b/>
                <w:color w:val="FFFFFF"/>
                <w:sz w:val="18"/>
              </w:rPr>
              <w:t>Demo section</w:t>
            </w:r>
          </w:p>
        </w:tc>
        <w:tc>
          <w:tcPr>
            <w:tcW w:type="dxa" w:w="4968"/>
            <w:vAlign w:val="center"/>
            <w:shd w:fill="123B67"/>
          </w:tcPr>
          <w:p>
            <w:pPr>
              <w:spacing w:after="40"/>
            </w:pPr>
            <w:r/>
            <w:r>
              <w:rPr>
                <w:b/>
                <w:color w:val="FFFFFF"/>
                <w:sz w:val="18"/>
              </w:rPr>
              <w:t>What to show</w:t>
            </w:r>
          </w:p>
        </w:tc>
      </w:tr>
      <w:tr>
        <w:tc>
          <w:tcPr>
            <w:tcW w:type="dxa" w:w="4968"/>
            <w:vAlign w:val="center"/>
          </w:tcPr>
          <w:p>
            <w:pPr>
              <w:spacing w:after="40"/>
            </w:pPr>
            <w:r/>
            <w:r>
              <w:rPr>
                <w:b/>
                <w:color w:val="123B67"/>
                <w:sz w:val="18"/>
              </w:rPr>
              <w:t>Welcome and overview</w:t>
            </w:r>
          </w:p>
        </w:tc>
        <w:tc>
          <w:tcPr>
            <w:tcW w:type="dxa" w:w="4968"/>
            <w:vAlign w:val="center"/>
          </w:tcPr>
          <w:p>
            <w:pPr>
              <w:spacing w:after="40"/>
            </w:pPr>
            <w:r/>
            <w:r>
              <w:rPr>
                <w:b w:val="0"/>
                <w:sz w:val="18"/>
              </w:rPr>
              <w:t>Explain that Sales Cloud centralizes opportunities, ownership and related sales documents.</w:t>
            </w:r>
          </w:p>
        </w:tc>
      </w:tr>
      <w:tr>
        <w:tc>
          <w:tcPr>
            <w:tcW w:type="dxa" w:w="4968"/>
            <w:vAlign w:val="center"/>
          </w:tcPr>
          <w:p>
            <w:pPr>
              <w:spacing w:after="40"/>
            </w:pPr>
            <w:r/>
            <w:r>
              <w:rPr>
                <w:b/>
                <w:color w:val="123B67"/>
                <w:sz w:val="18"/>
              </w:rPr>
              <w:t>Opportunity board</w:t>
            </w:r>
          </w:p>
        </w:tc>
        <w:tc>
          <w:tcPr>
            <w:tcW w:type="dxa" w:w="4968"/>
            <w:vAlign w:val="center"/>
          </w:tcPr>
          <w:p>
            <w:pPr>
              <w:spacing w:after="40"/>
            </w:pPr>
            <w:r/>
            <w:r>
              <w:rPr>
                <w:b w:val="0"/>
                <w:sz w:val="18"/>
              </w:rPr>
              <w:t>Show the pipeline stages and explain how opportunities move through the sales process.</w:t>
            </w:r>
          </w:p>
        </w:tc>
      </w:tr>
      <w:tr>
        <w:tc>
          <w:tcPr>
            <w:tcW w:type="dxa" w:w="4968"/>
            <w:vAlign w:val="center"/>
          </w:tcPr>
          <w:p>
            <w:pPr>
              <w:spacing w:after="40"/>
            </w:pPr>
            <w:r/>
            <w:r>
              <w:rPr>
                <w:b/>
                <w:color w:val="123B67"/>
                <w:sz w:val="18"/>
              </w:rPr>
              <w:t>Rep assignment</w:t>
            </w:r>
          </w:p>
        </w:tc>
        <w:tc>
          <w:tcPr>
            <w:tcW w:type="dxa" w:w="4968"/>
            <w:vAlign w:val="center"/>
          </w:tcPr>
          <w:p>
            <w:pPr>
              <w:spacing w:after="40"/>
            </w:pPr>
            <w:r/>
            <w:r>
              <w:rPr>
                <w:b w:val="0"/>
                <w:sz w:val="18"/>
              </w:rPr>
              <w:t>Show the assigned representative on an opportunity and demonstrate reassignment as Admin or CEO.</w:t>
            </w:r>
          </w:p>
        </w:tc>
      </w:tr>
      <w:tr>
        <w:tc>
          <w:tcPr>
            <w:tcW w:type="dxa" w:w="4968"/>
            <w:vAlign w:val="center"/>
          </w:tcPr>
          <w:p>
            <w:pPr>
              <w:spacing w:after="40"/>
            </w:pPr>
            <w:r/>
            <w:r>
              <w:rPr>
                <w:b/>
                <w:color w:val="123B67"/>
                <w:sz w:val="18"/>
              </w:rPr>
              <w:t>Quotation and invoice references</w:t>
            </w:r>
          </w:p>
        </w:tc>
        <w:tc>
          <w:tcPr>
            <w:tcW w:type="dxa" w:w="4968"/>
            <w:vAlign w:val="center"/>
          </w:tcPr>
          <w:p>
            <w:pPr>
              <w:spacing w:after="40"/>
            </w:pPr>
            <w:r/>
            <w:r>
              <w:rPr>
                <w:b w:val="0"/>
                <w:sz w:val="18"/>
              </w:rPr>
              <w:t>Show quotation and invoice numbers and where the assigned rep is displayed.</w:t>
            </w:r>
          </w:p>
        </w:tc>
      </w:tr>
      <w:tr>
        <w:tc>
          <w:tcPr>
            <w:tcW w:type="dxa" w:w="4968"/>
            <w:vAlign w:val="center"/>
          </w:tcPr>
          <w:p>
            <w:pPr>
              <w:spacing w:after="40"/>
            </w:pPr>
            <w:r/>
            <w:r>
              <w:rPr>
                <w:b/>
                <w:color w:val="123B67"/>
                <w:sz w:val="18"/>
              </w:rPr>
              <w:t>Social profiles and attachments</w:t>
            </w:r>
          </w:p>
        </w:tc>
        <w:tc>
          <w:tcPr>
            <w:tcW w:type="dxa" w:w="4968"/>
            <w:vAlign w:val="center"/>
          </w:tcPr>
          <w:p>
            <w:pPr>
              <w:spacing w:after="40"/>
            </w:pPr>
            <w:r/>
            <w:r>
              <w:rPr>
                <w:b w:val="0"/>
                <w:sz w:val="18"/>
              </w:rPr>
              <w:t>Open an opportunity/customer record, show social profile fields and upload supporting files.</w:t>
            </w:r>
          </w:p>
        </w:tc>
      </w:tr>
      <w:tr>
        <w:tc>
          <w:tcPr>
            <w:tcW w:type="dxa" w:w="4968"/>
            <w:vAlign w:val="center"/>
          </w:tcPr>
          <w:p>
            <w:pPr>
              <w:spacing w:after="40"/>
            </w:pPr>
            <w:r/>
            <w:r>
              <w:rPr>
                <w:b/>
                <w:color w:val="123B67"/>
                <w:sz w:val="18"/>
              </w:rPr>
              <w:t>Settings and team setup</w:t>
            </w:r>
          </w:p>
        </w:tc>
        <w:tc>
          <w:tcPr>
            <w:tcW w:type="dxa" w:w="4968"/>
            <w:vAlign w:val="center"/>
          </w:tcPr>
          <w:p>
            <w:pPr>
              <w:spacing w:after="40"/>
            </w:pPr>
            <w:r/>
            <w:r>
              <w:rPr>
                <w:b w:val="0"/>
                <w:sz w:val="18"/>
              </w:rPr>
              <w:t>Finish by showing workspace settings and the sales-team/representative overview.</w:t>
            </w:r>
          </w:p>
        </w:tc>
      </w:tr>
    </w:tbl>
    <w:p>
      <w:pPr>
        <w:pStyle w:val="Heading1"/>
      </w:pPr>
      <w:r>
        <w:t>3. Opportunities and pipeline board</w:t>
      </w:r>
    </w:p>
    <w:p>
      <w:r>
        <w:t>Use the opportunity board to explain the sales pipeline. The board groups deals by stage so the audience can quickly understand where each deal stands.</w:t>
      </w:r>
    </w:p>
    <w:p>
      <w:pPr>
        <w:pStyle w:val="ListNumber"/>
        <w:spacing w:after="60"/>
      </w:pPr>
      <w:r>
        <w:t>Open the Opportunities area and display the pipeline board.</w:t>
      </w:r>
    </w:p>
    <w:p>
      <w:pPr>
        <w:pStyle w:val="ListNumber"/>
        <w:spacing w:after="60"/>
      </w:pPr>
      <w:r>
        <w:t>Point out the stage columns, such as Prospecting, Qualification, Needs Analysis, Proposal and Negotiation (the stages shown may depend on the workspace configuration).</w:t>
      </w:r>
    </w:p>
    <w:p>
      <w:pPr>
        <w:pStyle w:val="ListNumber"/>
        <w:spacing w:after="60"/>
      </w:pPr>
      <w:r>
        <w:t>Open a sample opportunity and review its customer/company, deal value, probability, expected close date and current stage.</w:t>
      </w:r>
    </w:p>
    <w:p>
      <w:pPr>
        <w:pStyle w:val="ListNumber"/>
        <w:spacing w:after="60"/>
      </w:pPr>
      <w:r>
        <w:t>If supported, drag the opportunity to another stage to demonstrate the pipeline update.</w:t>
      </w:r>
    </w:p>
    <w:p>
      <w:pPr>
        <w:pStyle w:val="ListNumber"/>
        <w:spacing w:after="60"/>
      </w:pPr>
      <w:r>
        <w:t>Point out the assigned representative name on the opportunity card or detail view.</w:t>
      </w:r>
    </w:p>
    <w:p>
      <w:pPr>
        <w:pStyle w:val="Heading1"/>
      </w:pPr>
      <w:r>
        <w:t>4. Assigning and changing the representative</w:t>
      </w:r>
    </w:p>
    <w:p>
      <w:r>
        <w:t>The assigned representative identifies who is responsible for progressing an opportunity.</w:t>
      </w:r>
    </w:p>
    <w:p>
      <w:pPr>
        <w:pStyle w:val="Heading2"/>
      </w:pPr>
      <w:r>
        <w:t>Admin and CEO demonstration</w:t>
      </w:r>
    </w:p>
    <w:p>
      <w:pPr>
        <w:pStyle w:val="ListNumber"/>
        <w:spacing w:after="60"/>
      </w:pPr>
      <w:r>
        <w:t>Sign in as Admin or CEO.</w:t>
      </w:r>
    </w:p>
    <w:p>
      <w:pPr>
        <w:pStyle w:val="ListNumber"/>
        <w:spacing w:after="60"/>
      </w:pPr>
      <w:r>
        <w:t>Open an opportunity from the board or opportunity list.</w:t>
      </w:r>
    </w:p>
    <w:p>
      <w:pPr>
        <w:pStyle w:val="ListNumber"/>
        <w:spacing w:after="60"/>
      </w:pPr>
      <w:r>
        <w:t>Find the Assigned Rep field or reassignment control.</w:t>
      </w:r>
    </w:p>
    <w:p>
      <w:pPr>
        <w:pStyle w:val="ListNumber"/>
        <w:spacing w:after="60"/>
      </w:pPr>
      <w:r>
        <w:t>Choose another representative and save the change.</w:t>
      </w:r>
    </w:p>
    <w:p>
      <w:pPr>
        <w:pStyle w:val="ListNumber"/>
        <w:spacing w:after="60"/>
      </w:pPr>
      <w:r>
        <w:t>Return to the board and confirm that the updated representative name is displayed.</w:t>
      </w:r>
    </w:p>
    <w:p>
      <w:pPr>
        <w:pStyle w:val="Heading2"/>
      </w:pPr>
      <w:r>
        <w:t>Sales Rep demonstration</w:t>
      </w:r>
    </w:p>
    <w:p>
      <w:pPr>
        <w:pStyle w:val="ListBullet"/>
        <w:spacing w:after="60"/>
      </w:pPr>
      <w:r>
        <w:t>Sign in as a Sales Rep and show the opportunities available to that role.</w:t>
      </w:r>
    </w:p>
    <w:p>
      <w:pPr>
        <w:pStyle w:val="ListBullet"/>
        <w:spacing w:after="60"/>
      </w:pPr>
      <w:r>
        <w:t>Explain that a representative can work on their assigned opportunities, while reassignment is restricted to Admin and CEO according to the intended role permissions.</w:t>
      </w:r>
    </w:p>
    <w:p>
      <w:r>
        <w:t>Demo tip: Reassign a sample deal from one rep to another, then show the updated owner in the Admin/CEO view. This makes the permission difference easy to understand.</w:t>
      </w:r>
    </w:p>
    <w:p>
      <w:pPr>
        <w:pStyle w:val="Heading1"/>
      </w:pPr>
      <w:r>
        <w:t>5. Quotation and invoice numbers</w:t>
      </w:r>
    </w:p>
    <w:p>
      <w:r>
        <w:t>Show how document references connect sales paperwork to the opportunity and its owner.</w:t>
      </w:r>
    </w:p>
    <w:p>
      <w:pPr>
        <w:pStyle w:val="ListBullet"/>
        <w:spacing w:after="60"/>
      </w:pPr>
      <w:r>
        <w:t>Quotation number: show the quotation reference on the relevant opportunity or quotation record (example format: Q-1001).</w:t>
      </w:r>
    </w:p>
    <w:p>
      <w:pPr>
        <w:pStyle w:val="ListBullet"/>
        <w:spacing w:after="60"/>
      </w:pPr>
      <w:r>
        <w:t>Invoice number: show the invoice reference when an invoice exists (example format: INV-1001).</w:t>
      </w:r>
    </w:p>
    <w:p>
      <w:pPr>
        <w:pStyle w:val="ListBullet"/>
        <w:spacing w:after="60"/>
      </w:pPr>
      <w:r>
        <w:t>Assigned rep: point out the representative associated with the opportunity/document.</w:t>
      </w:r>
    </w:p>
    <w:p>
      <w:pPr>
        <w:pStyle w:val="ListBullet"/>
        <w:spacing w:after="60"/>
      </w:pPr>
      <w:r>
        <w:t>Role visibility: demonstrate the relevant records from Rep, Admin and CEO accounts, respecting each role's access.</w:t>
      </w:r>
    </w:p>
    <w:p>
      <w:r>
        <w:t>Important: Use actual numbers generated by the application during the demo. The examples above are illustrative only. If no invoice has been generated yet, explain that the invoice reference appears when the invoice is created.</w:t>
      </w:r>
    </w:p>
    <w:p>
      <w:pPr>
        <w:pStyle w:val="Heading1"/>
      </w:pPr>
      <w:r>
        <w:t>6. Social media profiles and file attachments</w:t>
      </w:r>
    </w:p>
    <w:p>
      <w:pPr>
        <w:pStyle w:val="Heading2"/>
      </w:pPr>
      <w:r>
        <w:t>Social media profiles</w:t>
      </w:r>
    </w:p>
    <w:p>
      <w:pPr>
        <w:pStyle w:val="ListBullet"/>
        <w:spacing w:after="60"/>
      </w:pPr>
      <w:r>
        <w:t>Show the LinkedIn, Instagram, Facebook and X profile fields.</w:t>
      </w:r>
    </w:p>
    <w:p>
      <w:pPr>
        <w:pStyle w:val="ListBullet"/>
        <w:spacing w:after="60"/>
      </w:pPr>
      <w:r>
        <w:t>Explain that users can store a profile URL or handle associated with the opportunity or customer.</w:t>
      </w:r>
    </w:p>
    <w:p>
      <w:pPr>
        <w:pStyle w:val="Heading2"/>
      </w:pPr>
      <w:r>
        <w:t>File attachments</w:t>
      </w:r>
    </w:p>
    <w:p>
      <w:pPr>
        <w:pStyle w:val="ListNumber"/>
        <w:spacing w:after="60"/>
      </w:pPr>
      <w:r>
        <w:t>Open the opportunity's attachment area directly below the social media section.</w:t>
      </w:r>
    </w:p>
    <w:p>
      <w:pPr>
        <w:pStyle w:val="ListNumber"/>
        <w:spacing w:after="60"/>
      </w:pPr>
      <w:r>
        <w:t>Select the upload control or drag files into the upload area.</w:t>
      </w:r>
    </w:p>
    <w:p>
      <w:pPr>
        <w:pStyle w:val="ListNumber"/>
        <w:spacing w:after="60"/>
      </w:pPr>
      <w:r>
        <w:t>Choose one or more files. Repeat the process to add additional files.</w:t>
      </w:r>
    </w:p>
    <w:p>
      <w:pPr>
        <w:pStyle w:val="ListNumber"/>
        <w:spacing w:after="60"/>
      </w:pPr>
      <w:r>
        <w:t>Show the uploaded file list, including file names and any available file details.</w:t>
      </w:r>
    </w:p>
    <w:p>
      <w:pPr>
        <w:pStyle w:val="ListNumber"/>
        <w:spacing w:after="60"/>
      </w:pPr>
      <w:r>
        <w:t>Demonstrate opening/downloading a file and removing a file if those actions are available.</w:t>
      </w:r>
    </w:p>
    <w:p>
      <w:r>
        <w:t>Demo tip: Use small sample PDFs and images so uploads complete quickly. Confirm the application's actual file-size and file-type restrictions before presenting the feature as unlimited; unlimited file count does not necessarily mean unlimited file size or storage.</w:t>
      </w:r>
    </w:p>
    <w:p>
      <w:pPr>
        <w:pStyle w:val="Heading1"/>
      </w:pPr>
      <w:r>
        <w:t>7. Settings and team overview</w:t>
      </w:r>
    </w:p>
    <w:p>
      <w:pPr>
        <w:pStyle w:val="ListBullet"/>
        <w:spacing w:after="60"/>
      </w:pPr>
      <w:r>
        <w:t>Open Settings and introduce the available account, workspace, appearance and team-related options.</w:t>
      </w:r>
    </w:p>
    <w:p>
      <w:pPr>
        <w:pStyle w:val="ListBullet"/>
        <w:spacing w:after="60"/>
      </w:pPr>
      <w:r>
        <w:t>Show the sales team or representative list, where available.</w:t>
      </w:r>
    </w:p>
    <w:p>
      <w:pPr>
        <w:pStyle w:val="ListBullet"/>
        <w:spacing w:after="60"/>
      </w:pPr>
      <w:r>
        <w:t>Explain how representative ownership supports accountability and helps managers review workloads.</w:t>
      </w:r>
    </w:p>
    <w:p>
      <w:pPr>
        <w:pStyle w:val="ListBullet"/>
        <w:spacing w:after="60"/>
      </w:pPr>
      <w:r>
        <w:t>If the demo workspace includes role or user management, show the relevant controls without changing production users.</w:t>
      </w:r>
    </w:p>
    <w:p>
      <w:pPr>
        <w:pStyle w:val="Heading1"/>
      </w:pPr>
      <w:r>
        <w:t>8. Role-based demo checklist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23B67"/>
          </w:tcPr>
          <w:p>
            <w:pPr>
              <w:spacing w:after="40"/>
            </w:pPr>
            <w:r/>
            <w:r>
              <w:rPr>
                <w:b/>
                <w:color w:val="FFFFFF"/>
                <w:sz w:val="18"/>
              </w:rPr>
              <w:t>Action / information</w:t>
            </w:r>
          </w:p>
        </w:tc>
        <w:tc>
          <w:tcPr>
            <w:tcW w:type="dxa" w:w="2484"/>
            <w:vAlign w:val="center"/>
            <w:shd w:fill="123B67"/>
          </w:tcPr>
          <w:p>
            <w:pPr>
              <w:spacing w:after="40"/>
            </w:pPr>
            <w:r/>
            <w:r>
              <w:rPr>
                <w:b/>
                <w:color w:val="FFFFFF"/>
                <w:sz w:val="18"/>
              </w:rPr>
              <w:t>Sales Rep</w:t>
            </w:r>
          </w:p>
        </w:tc>
        <w:tc>
          <w:tcPr>
            <w:tcW w:type="dxa" w:w="2484"/>
            <w:vAlign w:val="center"/>
            <w:shd w:fill="123B67"/>
          </w:tcPr>
          <w:p>
            <w:pPr>
              <w:spacing w:after="40"/>
            </w:pPr>
            <w:r/>
            <w:r>
              <w:rPr>
                <w:b/>
                <w:color w:val="FFFFFF"/>
                <w:sz w:val="18"/>
              </w:rPr>
              <w:t>Admin</w:t>
            </w:r>
          </w:p>
        </w:tc>
        <w:tc>
          <w:tcPr>
            <w:tcW w:type="dxa" w:w="2484"/>
            <w:vAlign w:val="center"/>
            <w:shd w:fill="123B67"/>
          </w:tcPr>
          <w:p>
            <w:pPr>
              <w:spacing w:after="40"/>
            </w:pPr>
            <w:r/>
            <w:r>
              <w:rPr>
                <w:b/>
                <w:color w:val="FFFFFF"/>
                <w:sz w:val="18"/>
              </w:rPr>
              <w:t>CEO</w:t>
            </w:r>
          </w:p>
        </w:tc>
      </w:tr>
      <w:tr>
        <w:tc>
          <w:tcPr>
            <w:tcW w:type="dxa" w:w="2484"/>
            <w:vAlign w:val="center"/>
          </w:tcPr>
          <w:p>
            <w:pPr>
              <w:spacing w:after="40"/>
            </w:pPr>
            <w:r/>
            <w:r>
              <w:rPr>
                <w:b/>
                <w:color w:val="123B67"/>
                <w:sz w:val="18"/>
              </w:rPr>
              <w:t>View assigned rep on opportunities</w:t>
            </w:r>
          </w:p>
        </w:tc>
        <w:tc>
          <w:tcPr>
            <w:tcW w:type="dxa" w:w="2484"/>
            <w:vAlign w:val="center"/>
          </w:tcPr>
          <w:p>
            <w:pPr>
              <w:spacing w:after="40"/>
            </w:pPr>
            <w:r/>
            <w:r>
              <w:rPr>
                <w:b w:val="0"/>
                <w:sz w:val="18"/>
              </w:rPr>
              <w:t>Yes</w:t>
            </w:r>
          </w:p>
        </w:tc>
        <w:tc>
          <w:tcPr>
            <w:tcW w:type="dxa" w:w="2484"/>
            <w:vAlign w:val="center"/>
          </w:tcPr>
          <w:p>
            <w:pPr>
              <w:spacing w:after="40"/>
            </w:pPr>
            <w:r/>
            <w:r>
              <w:rPr>
                <w:b w:val="0"/>
                <w:sz w:val="18"/>
              </w:rPr>
              <w:t>Yes</w:t>
            </w:r>
          </w:p>
        </w:tc>
        <w:tc>
          <w:tcPr>
            <w:tcW w:type="dxa" w:w="2484"/>
            <w:vAlign w:val="center"/>
          </w:tcPr>
          <w:p>
            <w:pPr>
              <w:spacing w:after="40"/>
            </w:pPr>
            <w:r/>
            <w:r>
              <w:rPr>
                <w:b w:val="0"/>
                <w:sz w:val="18"/>
              </w:rPr>
              <w:t>Yes</w:t>
            </w:r>
          </w:p>
        </w:tc>
      </w:tr>
      <w:tr>
        <w:tc>
          <w:tcPr>
            <w:tcW w:type="dxa" w:w="2484"/>
            <w:vAlign w:val="center"/>
          </w:tcPr>
          <w:p>
            <w:pPr>
              <w:spacing w:after="40"/>
            </w:pPr>
            <w:r/>
            <w:r>
              <w:rPr>
                <w:b/>
                <w:color w:val="123B67"/>
                <w:sz w:val="18"/>
              </w:rPr>
              <w:t>Change assigned rep</w:t>
            </w:r>
          </w:p>
        </w:tc>
        <w:tc>
          <w:tcPr>
            <w:tcW w:type="dxa" w:w="2484"/>
            <w:vAlign w:val="center"/>
          </w:tcPr>
          <w:p>
            <w:pPr>
              <w:spacing w:after="40"/>
            </w:pPr>
            <w:r/>
            <w:r>
              <w:rPr>
                <w:b w:val="0"/>
                <w:sz w:val="18"/>
              </w:rPr>
              <w:t>No*</w:t>
            </w:r>
          </w:p>
        </w:tc>
        <w:tc>
          <w:tcPr>
            <w:tcW w:type="dxa" w:w="2484"/>
            <w:vAlign w:val="center"/>
          </w:tcPr>
          <w:p>
            <w:pPr>
              <w:spacing w:after="40"/>
            </w:pPr>
            <w:r/>
            <w:r>
              <w:rPr>
                <w:b w:val="0"/>
                <w:sz w:val="18"/>
              </w:rPr>
              <w:t>Yes</w:t>
            </w:r>
          </w:p>
        </w:tc>
        <w:tc>
          <w:tcPr>
            <w:tcW w:type="dxa" w:w="2484"/>
            <w:vAlign w:val="center"/>
          </w:tcPr>
          <w:p>
            <w:pPr>
              <w:spacing w:after="40"/>
            </w:pPr>
            <w:r/>
            <w:r>
              <w:rPr>
                <w:b w:val="0"/>
                <w:sz w:val="18"/>
              </w:rPr>
              <w:t>Yes</w:t>
            </w:r>
          </w:p>
        </w:tc>
      </w:tr>
      <w:tr>
        <w:tc>
          <w:tcPr>
            <w:tcW w:type="dxa" w:w="2484"/>
            <w:vAlign w:val="center"/>
          </w:tcPr>
          <w:p>
            <w:pPr>
              <w:spacing w:after="40"/>
            </w:pPr>
            <w:r/>
            <w:r>
              <w:rPr>
                <w:b/>
                <w:color w:val="123B67"/>
                <w:sz w:val="18"/>
              </w:rPr>
              <w:t>View quotation/invoice references</w:t>
            </w:r>
          </w:p>
        </w:tc>
        <w:tc>
          <w:tcPr>
            <w:tcW w:type="dxa" w:w="2484"/>
            <w:vAlign w:val="center"/>
          </w:tcPr>
          <w:p>
            <w:pPr>
              <w:spacing w:after="40"/>
            </w:pPr>
            <w:r/>
            <w:r>
              <w:rPr>
                <w:b w:val="0"/>
                <w:sz w:val="18"/>
              </w:rPr>
              <w:t>As permitted</w:t>
            </w:r>
          </w:p>
        </w:tc>
        <w:tc>
          <w:tcPr>
            <w:tcW w:type="dxa" w:w="2484"/>
            <w:vAlign w:val="center"/>
          </w:tcPr>
          <w:p>
            <w:pPr>
              <w:spacing w:after="40"/>
            </w:pPr>
            <w:r/>
            <w:r>
              <w:rPr>
                <w:b w:val="0"/>
                <w:sz w:val="18"/>
              </w:rPr>
              <w:t>Yes</w:t>
            </w:r>
          </w:p>
        </w:tc>
        <w:tc>
          <w:tcPr>
            <w:tcW w:type="dxa" w:w="2484"/>
            <w:vAlign w:val="center"/>
          </w:tcPr>
          <w:p>
            <w:pPr>
              <w:spacing w:after="40"/>
            </w:pPr>
            <w:r/>
            <w:r>
              <w:rPr>
                <w:b w:val="0"/>
                <w:sz w:val="18"/>
              </w:rPr>
              <w:t>Yes</w:t>
            </w:r>
          </w:p>
        </w:tc>
      </w:tr>
      <w:tr>
        <w:tc>
          <w:tcPr>
            <w:tcW w:type="dxa" w:w="2484"/>
            <w:vAlign w:val="center"/>
          </w:tcPr>
          <w:p>
            <w:pPr>
              <w:spacing w:after="40"/>
            </w:pPr>
            <w:r/>
            <w:r>
              <w:rPr>
                <w:b/>
                <w:color w:val="123B67"/>
                <w:sz w:val="18"/>
              </w:rPr>
              <w:t>View and work with own opportunities</w:t>
            </w:r>
          </w:p>
        </w:tc>
        <w:tc>
          <w:tcPr>
            <w:tcW w:type="dxa" w:w="2484"/>
            <w:vAlign w:val="center"/>
          </w:tcPr>
          <w:p>
            <w:pPr>
              <w:spacing w:after="40"/>
            </w:pPr>
            <w:r/>
            <w:r>
              <w:rPr>
                <w:b w:val="0"/>
                <w:sz w:val="18"/>
              </w:rPr>
              <w:t>Yes</w:t>
            </w:r>
          </w:p>
        </w:tc>
        <w:tc>
          <w:tcPr>
            <w:tcW w:type="dxa" w:w="2484"/>
            <w:vAlign w:val="center"/>
          </w:tcPr>
          <w:p>
            <w:pPr>
              <w:spacing w:after="40"/>
            </w:pPr>
            <w:r/>
            <w:r>
              <w:rPr>
                <w:b w:val="0"/>
                <w:sz w:val="18"/>
              </w:rPr>
              <w:t>Yes</w:t>
            </w:r>
          </w:p>
        </w:tc>
        <w:tc>
          <w:tcPr>
            <w:tcW w:type="dxa" w:w="2484"/>
            <w:vAlign w:val="center"/>
          </w:tcPr>
          <w:p>
            <w:pPr>
              <w:spacing w:after="40"/>
            </w:pPr>
            <w:r/>
            <w:r>
              <w:rPr>
                <w:b w:val="0"/>
                <w:sz w:val="18"/>
              </w:rPr>
              <w:t>Yes</w:t>
            </w:r>
          </w:p>
        </w:tc>
      </w:tr>
      <w:tr>
        <w:tc>
          <w:tcPr>
            <w:tcW w:type="dxa" w:w="2484"/>
            <w:vAlign w:val="center"/>
          </w:tcPr>
          <w:p>
            <w:pPr>
              <w:spacing w:after="40"/>
            </w:pPr>
            <w:r/>
            <w:r>
              <w:rPr>
                <w:b/>
                <w:color w:val="123B67"/>
                <w:sz w:val="18"/>
              </w:rPr>
              <w:t>Manage workspace settings</w:t>
            </w:r>
          </w:p>
        </w:tc>
        <w:tc>
          <w:tcPr>
            <w:tcW w:type="dxa" w:w="2484"/>
            <w:vAlign w:val="center"/>
          </w:tcPr>
          <w:p>
            <w:pPr>
              <w:spacing w:after="40"/>
            </w:pPr>
            <w:r/>
            <w:r>
              <w:rPr>
                <w:b w:val="0"/>
                <w:sz w:val="18"/>
              </w:rPr>
              <w:t>By permission</w:t>
            </w:r>
          </w:p>
        </w:tc>
        <w:tc>
          <w:tcPr>
            <w:tcW w:type="dxa" w:w="2484"/>
            <w:vAlign w:val="center"/>
          </w:tcPr>
          <w:p>
            <w:pPr>
              <w:spacing w:after="40"/>
            </w:pPr>
            <w:r/>
            <w:r>
              <w:rPr>
                <w:b w:val="0"/>
                <w:sz w:val="18"/>
              </w:rPr>
              <w:t>By permission</w:t>
            </w:r>
          </w:p>
        </w:tc>
        <w:tc>
          <w:tcPr>
            <w:tcW w:type="dxa" w:w="2484"/>
            <w:vAlign w:val="center"/>
          </w:tcPr>
          <w:p>
            <w:pPr>
              <w:spacing w:after="40"/>
            </w:pPr>
            <w:r/>
            <w:r>
              <w:rPr>
                <w:b w:val="0"/>
                <w:sz w:val="18"/>
              </w:rPr>
              <w:t>By permission</w:t>
            </w:r>
          </w:p>
        </w:tc>
      </w:tr>
    </w:tbl>
    <w:p>
      <w:r>
        <w:t>*Confirm the final permissions in the deployed application. This guide reflects the requested setup: Admin and CEO can reassign opportunities; Sales Reps cannot change the assigned rep.</w:t>
      </w:r>
    </w:p>
    <w:p>
      <w:pPr>
        <w:pStyle w:val="Heading1"/>
      </w:pPr>
      <w:r>
        <w:t>9. Sample talk track</w:t>
      </w:r>
    </w:p>
    <w:tbl>
      <w:tblPr>
        <w:tblW w:type="auto" w:w="0"/>
        <w:tblLook w:firstColumn="1" w:firstRow="1" w:lastColumn="0" w:lastRow="0" w:noHBand="0" w:noVBand="1" w:val="04A0"/>
      </w:tblPr>
      <w:tblGrid>
        <w:gridCol w:w="9936"/>
      </w:tblGrid>
      <w:tr>
        <w:tc>
          <w:tcPr>
            <w:tcW w:type="dxa" w:w="9936"/>
            <w:shd w:fill="F3F6FA"/>
            <w:vAlign w:val="center"/>
          </w:tcPr>
          <w:p>
            <w:pPr>
              <w:spacing w:after="40"/>
            </w:pPr>
            <w:r/>
            <w:r>
              <w:rPr>
                <w:b w:val="0"/>
                <w:color w:val="344054"/>
                <w:sz w:val="20"/>
              </w:rPr>
              <w:t>“Sales Cloud gives the team one place to track opportunities and their progress. Every opportunity has a clear owner, and Admins and the CEO can reassign ownership when workloads or responsibilities change. The team can also reference quotations and invoices, keep customer social profiles with the record, and attach supporting files. This makes it easier to follow each deal from the pipeline through its sales documentation.”</w:t>
            </w:r>
          </w:p>
        </w:tc>
      </w:tr>
    </w:tbl>
    <w:p>
      <w:pPr>
        <w:pStyle w:val="Heading1"/>
      </w:pPr>
      <w:r>
        <w:t>10. Wrap-up and questions</w:t>
      </w:r>
    </w:p>
    <w:p>
      <w:pPr>
        <w:pStyle w:val="ListBullet"/>
        <w:spacing w:after="60"/>
      </w:pPr>
      <w:r>
        <w:t>Recap the opportunity pipeline and representative ownership.</w:t>
      </w:r>
    </w:p>
    <w:p>
      <w:pPr>
        <w:pStyle w:val="ListBullet"/>
        <w:spacing w:after="60"/>
      </w:pPr>
      <w:r>
        <w:t>Reinforce that Admin and CEO can change the assigned rep.</w:t>
      </w:r>
    </w:p>
    <w:p>
      <w:pPr>
        <w:pStyle w:val="ListBullet"/>
        <w:spacing w:after="60"/>
      </w:pPr>
      <w:r>
        <w:t>Show quotation and invoice references and where users can find them.</w:t>
      </w:r>
    </w:p>
    <w:p>
      <w:pPr>
        <w:pStyle w:val="ListBullet"/>
        <w:spacing w:after="60"/>
      </w:pPr>
      <w:r>
        <w:t>Close with the attachment workflow and Settings overview.</w:t>
      </w:r>
    </w:p>
    <w:p>
      <w:pPr>
        <w:pStyle w:val="ListBullet"/>
        <w:spacing w:after="60"/>
      </w:pPr>
      <w:r>
        <w:t>Invite questions about the team's process, roles and reporting needs.</w:t>
      </w:r>
    </w:p>
    <w:p>
      <w:pPr>
        <w:pStyle w:val="Heading1"/>
      </w:pPr>
      <w:r>
        <w:t>Presenter notes</w:t>
      </w:r>
    </w:p>
    <w:p>
      <w:r>
        <w:t>This guide is based on the Sales Cloud features and role requirements described for the demo project. Screen labels, available actions and permissions can vary by build and configuration. Before a live customer demo, verify each workflow in the exact environment you will present.</w:t>
      </w:r>
    </w:p>
    <w:p/>
    <w:p>
      <w:pPr>
        <w:jc w:val="center"/>
      </w:pPr>
      <w:r>
        <w:rPr>
          <w:b/>
          <w:color w:val="1769AA"/>
        </w:rPr>
        <w:t>— End of guide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Sales Cloud Demo Guide  •  Internal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69AA"/>
      </w:rPr>
      <w:t>SALES CLOUD  |  PRODUCT DEMO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B67"/>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23B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3B6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