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B1454" w14:textId="77777777" w:rsidR="007A4AF9" w:rsidRDefault="007A4AF9" w:rsidP="007A4AF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Centre for Artificial Intelligence and Robotics – DRDO</w:t>
      </w:r>
    </w:p>
    <w:p w14:paraId="0BC78DEC" w14:textId="77777777" w:rsidR="007A4AF9" w:rsidRDefault="007A4AF9" w:rsidP="007A4A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Shivam Jaiswal</w:t>
      </w:r>
    </w:p>
    <w:p w14:paraId="019C3B14" w14:textId="77777777" w:rsidR="007A4AF9" w:rsidRDefault="007A4AF9" w:rsidP="007A4A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Weekly Report</w:t>
      </w:r>
    </w:p>
    <w:p w14:paraId="61932569" w14:textId="227D4406" w:rsidR="007A4AF9" w:rsidRDefault="007A4AF9" w:rsidP="007A4A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Week </w:t>
      </w:r>
      <w:r w:rsidR="00865EF6">
        <w:rPr>
          <w:rFonts w:ascii="Times New Roman" w:hAnsi="Times New Roman" w:cs="Times New Roman"/>
          <w:sz w:val="24"/>
          <w:szCs w:val="24"/>
        </w:rPr>
        <w:t>20-24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865EF6">
        <w:rPr>
          <w:rFonts w:ascii="Times New Roman" w:hAnsi="Times New Roman" w:cs="Times New Roman"/>
          <w:sz w:val="24"/>
          <w:szCs w:val="24"/>
        </w:rPr>
        <w:t>1</w:t>
      </w:r>
      <w:r w:rsidR="00865EF6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3C04A5">
        <w:rPr>
          <w:rFonts w:ascii="Times New Roman" w:hAnsi="Times New Roman" w:cs="Times New Roman"/>
          <w:sz w:val="24"/>
          <w:szCs w:val="24"/>
        </w:rPr>
        <w:t xml:space="preserve"> </w:t>
      </w:r>
      <w:r w:rsidR="00865EF6">
        <w:rPr>
          <w:rFonts w:ascii="Times New Roman" w:hAnsi="Times New Roman" w:cs="Times New Roman"/>
          <w:sz w:val="24"/>
          <w:szCs w:val="24"/>
        </w:rPr>
        <w:t>January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="00865EF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865EF6">
        <w:rPr>
          <w:rFonts w:ascii="Times New Roman" w:hAnsi="Times New Roman" w:cs="Times New Roman"/>
          <w:sz w:val="24"/>
          <w:szCs w:val="24"/>
        </w:rPr>
        <w:t>31</w:t>
      </w:r>
      <w:r w:rsidR="00865EF6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5EF6">
        <w:rPr>
          <w:rFonts w:ascii="Times New Roman" w:hAnsi="Times New Roman" w:cs="Times New Roman"/>
          <w:sz w:val="24"/>
          <w:szCs w:val="24"/>
        </w:rPr>
        <w:t>January</w:t>
      </w:r>
      <w:r>
        <w:rPr>
          <w:rFonts w:ascii="Times New Roman" w:hAnsi="Times New Roman" w:cs="Times New Roman"/>
          <w:sz w:val="24"/>
          <w:szCs w:val="24"/>
        </w:rPr>
        <w:t xml:space="preserve"> 21)</w:t>
      </w:r>
    </w:p>
    <w:p w14:paraId="650F215C" w14:textId="77777777" w:rsidR="00992994" w:rsidRDefault="00992994" w:rsidP="007A4A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07FA12A" w14:textId="77777777" w:rsidR="007A4AF9" w:rsidRDefault="007A4AF9" w:rsidP="007A4AF9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Objective</w:t>
      </w:r>
    </w:p>
    <w:p w14:paraId="0B567A77" w14:textId="1AAD879C" w:rsidR="007A4AF9" w:rsidRDefault="00594888" w:rsidP="007A4AF9">
      <w:pPr>
        <w:spacing w:before="240" w:after="0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To study position and torque control for single joint and literature surveys of </w:t>
      </w:r>
    </w:p>
    <w:p w14:paraId="0FA4CF2C" w14:textId="77777777" w:rsidR="00992994" w:rsidRDefault="00992994" w:rsidP="007A4AF9">
      <w:pPr>
        <w:spacing w:before="240" w:after="0"/>
        <w:jc w:val="both"/>
        <w:rPr>
          <w:rFonts w:ascii="Times New Roman" w:hAnsi="Times New Roman" w:cs="Times New Roman"/>
          <w:szCs w:val="22"/>
        </w:rPr>
      </w:pPr>
    </w:p>
    <w:p w14:paraId="40AC7758" w14:textId="77777777" w:rsidR="007A4AF9" w:rsidRDefault="007A4AF9" w:rsidP="007A4AF9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Literature Survey</w:t>
      </w:r>
    </w:p>
    <w:p w14:paraId="78191AFA" w14:textId="4D7D6B0D" w:rsidR="00992994" w:rsidRDefault="00594888" w:rsidP="00402C9B">
      <w:pPr>
        <w:pStyle w:val="ListParagraph"/>
        <w:numPr>
          <w:ilvl w:val="0"/>
          <w:numId w:val="1"/>
        </w:numPr>
        <w:spacing w:before="240" w:after="0"/>
        <w:jc w:val="both"/>
        <w:rPr>
          <w:rFonts w:ascii="Times New Roman" w:hAnsi="Times New Roman" w:cs="Times New Roman"/>
          <w:szCs w:val="22"/>
        </w:rPr>
      </w:pPr>
      <w:proofErr w:type="spellStart"/>
      <w:r>
        <w:rPr>
          <w:rFonts w:ascii="Times New Roman" w:hAnsi="Times New Roman" w:cs="Times New Roman"/>
          <w:szCs w:val="22"/>
        </w:rPr>
        <w:t>Warburtin</w:t>
      </w:r>
      <w:proofErr w:type="spellEnd"/>
      <w:r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i/>
          <w:iCs/>
          <w:szCs w:val="22"/>
        </w:rPr>
        <w:t>et al</w:t>
      </w:r>
      <w:r>
        <w:rPr>
          <w:rFonts w:ascii="Times New Roman" w:hAnsi="Times New Roman" w:cs="Times New Roman"/>
          <w:szCs w:val="22"/>
        </w:rPr>
        <w:t>., 2017</w:t>
      </w:r>
      <w:r w:rsidR="00944EAE">
        <w:rPr>
          <w:rFonts w:ascii="Times New Roman" w:hAnsi="Times New Roman" w:cs="Times New Roman"/>
          <w:szCs w:val="22"/>
        </w:rPr>
        <w:t xml:space="preserve"> [1]</w:t>
      </w:r>
      <w:r>
        <w:rPr>
          <w:rFonts w:ascii="Times New Roman" w:hAnsi="Times New Roman" w:cs="Times New Roman"/>
          <w:szCs w:val="22"/>
        </w:rPr>
        <w:t xml:space="preserve"> used Mirrored Movement Therapy to perform upper arm </w:t>
      </w:r>
      <w:r w:rsidR="0076745E">
        <w:rPr>
          <w:rFonts w:ascii="Times New Roman" w:hAnsi="Times New Roman" w:cs="Times New Roman"/>
          <w:szCs w:val="22"/>
        </w:rPr>
        <w:t>rehabilitation</w:t>
      </w:r>
      <w:r>
        <w:rPr>
          <w:rFonts w:ascii="Times New Roman" w:hAnsi="Times New Roman" w:cs="Times New Roman"/>
          <w:szCs w:val="22"/>
        </w:rPr>
        <w:t xml:space="preserve"> with focus on shoulder, in people with stroke problems</w:t>
      </w:r>
      <w:r w:rsidR="00746155">
        <w:rPr>
          <w:rFonts w:ascii="Times New Roman" w:hAnsi="Times New Roman" w:cs="Times New Roman"/>
          <w:szCs w:val="22"/>
        </w:rPr>
        <w:t xml:space="preserve"> to validate its kinematics</w:t>
      </w:r>
      <w:r>
        <w:rPr>
          <w:rFonts w:ascii="Times New Roman" w:hAnsi="Times New Roman" w:cs="Times New Roman"/>
          <w:szCs w:val="22"/>
        </w:rPr>
        <w:t xml:space="preserve">. </w:t>
      </w:r>
      <w:r w:rsidR="00746155">
        <w:rPr>
          <w:rFonts w:ascii="Times New Roman" w:hAnsi="Times New Roman" w:cs="Times New Roman"/>
          <w:szCs w:val="22"/>
        </w:rPr>
        <w:t xml:space="preserve">They utilized an upper body exoskeleton named Harmony to mirror movement in the healthy arm to the arm with stroke. For the experiment </w:t>
      </w:r>
      <w:r w:rsidR="0076745E">
        <w:rPr>
          <w:rFonts w:ascii="Times New Roman" w:hAnsi="Times New Roman" w:cs="Times New Roman"/>
          <w:szCs w:val="22"/>
        </w:rPr>
        <w:t>evaluation</w:t>
      </w:r>
      <w:r w:rsidR="00746155">
        <w:rPr>
          <w:rFonts w:ascii="Times New Roman" w:hAnsi="Times New Roman" w:cs="Times New Roman"/>
          <w:szCs w:val="22"/>
        </w:rPr>
        <w:t xml:space="preserve"> shoulder abduction/adduction, flexion/extension and scaption were conducted, and the difference between left and right acromion were taken as </w:t>
      </w:r>
      <w:r w:rsidR="0076745E">
        <w:rPr>
          <w:rFonts w:ascii="Times New Roman" w:hAnsi="Times New Roman" w:cs="Times New Roman"/>
          <w:szCs w:val="22"/>
        </w:rPr>
        <w:t>refence</w:t>
      </w:r>
      <w:r w:rsidR="00746155">
        <w:rPr>
          <w:rFonts w:ascii="Times New Roman" w:hAnsi="Times New Roman" w:cs="Times New Roman"/>
          <w:szCs w:val="22"/>
        </w:rPr>
        <w:t xml:space="preserve"> point to measure error. Root Mean Squared error for </w:t>
      </w:r>
      <w:r w:rsidR="00746155">
        <w:rPr>
          <w:rFonts w:ascii="Times New Roman" w:hAnsi="Times New Roman" w:cs="Times New Roman"/>
          <w:szCs w:val="22"/>
        </w:rPr>
        <w:t>shoulder abduction/adduction, flexion/extension and scaption were</w:t>
      </w:r>
      <w:r w:rsidR="00746155">
        <w:rPr>
          <w:rFonts w:ascii="Times New Roman" w:hAnsi="Times New Roman" w:cs="Times New Roman"/>
          <w:szCs w:val="22"/>
        </w:rPr>
        <w:t xml:space="preserve"> 6.5 mm, 10.6 mm and 7.1mm respectively.</w:t>
      </w:r>
    </w:p>
    <w:p w14:paraId="42886814" w14:textId="3DC66DA3" w:rsidR="007C17DD" w:rsidRDefault="0093729E" w:rsidP="00402C9B">
      <w:pPr>
        <w:pStyle w:val="ListParagraph"/>
        <w:numPr>
          <w:ilvl w:val="0"/>
          <w:numId w:val="1"/>
        </w:numPr>
        <w:spacing w:before="240" w:after="0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To reduce jitters in the knee joint during squatting process a weight assistive exoskeleton Xiao </w:t>
      </w:r>
      <w:r>
        <w:rPr>
          <w:rFonts w:ascii="Times New Roman" w:hAnsi="Times New Roman" w:cs="Times New Roman"/>
          <w:i/>
          <w:iCs/>
          <w:szCs w:val="22"/>
        </w:rPr>
        <w:t>et al</w:t>
      </w:r>
      <w:r>
        <w:rPr>
          <w:rFonts w:ascii="Times New Roman" w:hAnsi="Times New Roman" w:cs="Times New Roman"/>
          <w:szCs w:val="22"/>
        </w:rPr>
        <w:t>., 2021</w:t>
      </w:r>
      <w:r w:rsidR="00944EAE">
        <w:rPr>
          <w:rFonts w:ascii="Times New Roman" w:hAnsi="Times New Roman" w:cs="Times New Roman"/>
          <w:szCs w:val="22"/>
        </w:rPr>
        <w:t xml:space="preserve"> [2]</w:t>
      </w:r>
      <w:r>
        <w:rPr>
          <w:rFonts w:ascii="Times New Roman" w:hAnsi="Times New Roman" w:cs="Times New Roman"/>
          <w:szCs w:val="22"/>
        </w:rPr>
        <w:t xml:space="preserve"> </w:t>
      </w:r>
      <w:r w:rsidR="0076745E">
        <w:rPr>
          <w:rFonts w:ascii="Times New Roman" w:hAnsi="Times New Roman" w:cs="Times New Roman"/>
          <w:szCs w:val="22"/>
        </w:rPr>
        <w:t>developed</w:t>
      </w:r>
      <w:r>
        <w:rPr>
          <w:rFonts w:ascii="Times New Roman" w:hAnsi="Times New Roman" w:cs="Times New Roman"/>
          <w:szCs w:val="22"/>
        </w:rPr>
        <w:t xml:space="preserve"> a pneumatic model in AMESim software. Model consist of a single acting cylinder placed at knee joint to control </w:t>
      </w:r>
      <w:r w:rsidR="0076745E">
        <w:rPr>
          <w:rFonts w:ascii="Times New Roman" w:hAnsi="Times New Roman" w:cs="Times New Roman"/>
          <w:szCs w:val="22"/>
        </w:rPr>
        <w:t>irregularities</w:t>
      </w:r>
      <w:r>
        <w:rPr>
          <w:rFonts w:ascii="Times New Roman" w:hAnsi="Times New Roman" w:cs="Times New Roman"/>
          <w:szCs w:val="22"/>
        </w:rPr>
        <w:t xml:space="preserve"> in the assistance and motion of the knee joint. Control was achieved in the return flow of the cylinder. They simulated presented model in AMESim and carried out experimental </w:t>
      </w:r>
      <w:r w:rsidR="0076745E">
        <w:rPr>
          <w:rFonts w:ascii="Times New Roman" w:hAnsi="Times New Roman" w:cs="Times New Roman"/>
          <w:szCs w:val="22"/>
        </w:rPr>
        <w:t>verifications</w:t>
      </w:r>
      <w:r>
        <w:rPr>
          <w:rFonts w:ascii="Times New Roman" w:hAnsi="Times New Roman" w:cs="Times New Roman"/>
          <w:szCs w:val="22"/>
        </w:rPr>
        <w:t xml:space="preserve">. To optimize the control author used PID controller where error was </w:t>
      </w:r>
      <w:r w:rsidR="0076745E">
        <w:rPr>
          <w:rFonts w:ascii="Times New Roman" w:hAnsi="Times New Roman" w:cs="Times New Roman"/>
          <w:szCs w:val="22"/>
        </w:rPr>
        <w:t>determined</w:t>
      </w:r>
      <w:r>
        <w:rPr>
          <w:rFonts w:ascii="Times New Roman" w:hAnsi="Times New Roman" w:cs="Times New Roman"/>
          <w:szCs w:val="22"/>
        </w:rPr>
        <w:t xml:space="preserve"> by the difference in </w:t>
      </w:r>
      <w:r w:rsidR="008537EA">
        <w:rPr>
          <w:rFonts w:ascii="Times New Roman" w:hAnsi="Times New Roman" w:cs="Times New Roman"/>
          <w:szCs w:val="22"/>
        </w:rPr>
        <w:t>desired and actual angles of knee joints. The knee joint jitters were found to be within 1.8 % for the stand – squat – hold - squat process.</w:t>
      </w:r>
    </w:p>
    <w:p w14:paraId="75598DCD" w14:textId="720FD7FB" w:rsidR="00650481" w:rsidRDefault="00650481" w:rsidP="00402C9B">
      <w:pPr>
        <w:pStyle w:val="ListParagraph"/>
        <w:numPr>
          <w:ilvl w:val="0"/>
          <w:numId w:val="1"/>
        </w:numPr>
        <w:spacing w:before="240" w:after="0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Wang </w:t>
      </w:r>
      <w:r>
        <w:rPr>
          <w:rFonts w:ascii="Times New Roman" w:hAnsi="Times New Roman" w:cs="Times New Roman"/>
          <w:i/>
          <w:iCs/>
          <w:szCs w:val="22"/>
        </w:rPr>
        <w:t>et al</w:t>
      </w:r>
      <w:r>
        <w:rPr>
          <w:rFonts w:ascii="Times New Roman" w:hAnsi="Times New Roman" w:cs="Times New Roman"/>
          <w:szCs w:val="22"/>
        </w:rPr>
        <w:t>., 2020</w:t>
      </w:r>
      <w:r w:rsidR="00944EAE">
        <w:rPr>
          <w:rFonts w:ascii="Times New Roman" w:hAnsi="Times New Roman" w:cs="Times New Roman"/>
          <w:szCs w:val="22"/>
        </w:rPr>
        <w:t xml:space="preserve"> [3]</w:t>
      </w:r>
      <w:r>
        <w:rPr>
          <w:rFonts w:ascii="Times New Roman" w:hAnsi="Times New Roman" w:cs="Times New Roman"/>
          <w:szCs w:val="22"/>
        </w:rPr>
        <w:t xml:space="preserve"> used multi-domain system-level modelling software Maplesim to simulate and </w:t>
      </w:r>
      <w:r w:rsidR="0076745E">
        <w:rPr>
          <w:rFonts w:ascii="Times New Roman" w:hAnsi="Times New Roman" w:cs="Times New Roman"/>
          <w:szCs w:val="22"/>
        </w:rPr>
        <w:t>determine</w:t>
      </w:r>
      <w:r>
        <w:rPr>
          <w:rFonts w:ascii="Times New Roman" w:hAnsi="Times New Roman" w:cs="Times New Roman"/>
          <w:szCs w:val="22"/>
        </w:rPr>
        <w:t xml:space="preserve"> dynamic </w:t>
      </w:r>
      <w:r w:rsidR="0076745E">
        <w:rPr>
          <w:rFonts w:ascii="Times New Roman" w:hAnsi="Times New Roman" w:cs="Times New Roman"/>
          <w:szCs w:val="22"/>
        </w:rPr>
        <w:t>centre</w:t>
      </w:r>
      <w:r>
        <w:rPr>
          <w:rFonts w:ascii="Times New Roman" w:hAnsi="Times New Roman" w:cs="Times New Roman"/>
          <w:szCs w:val="22"/>
        </w:rPr>
        <w:t xml:space="preserve"> of the gravity on upper body exoskeleton.</w:t>
      </w:r>
    </w:p>
    <w:p w14:paraId="01D2801B" w14:textId="3FC1EA62" w:rsidR="00EE34A3" w:rsidRDefault="00A75A96" w:rsidP="007639AE">
      <w:pPr>
        <w:pStyle w:val="ListParagraph"/>
        <w:numPr>
          <w:ilvl w:val="0"/>
          <w:numId w:val="1"/>
        </w:numPr>
        <w:spacing w:before="240" w:after="0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Winder </w:t>
      </w:r>
      <w:r>
        <w:rPr>
          <w:rFonts w:ascii="Times New Roman" w:hAnsi="Times New Roman" w:cs="Times New Roman"/>
          <w:i/>
          <w:iCs/>
          <w:szCs w:val="22"/>
        </w:rPr>
        <w:t>et al</w:t>
      </w:r>
      <w:r>
        <w:rPr>
          <w:rFonts w:ascii="Times New Roman" w:hAnsi="Times New Roman" w:cs="Times New Roman"/>
          <w:szCs w:val="22"/>
        </w:rPr>
        <w:t>., 2008</w:t>
      </w:r>
      <w:r w:rsidR="00944EAE">
        <w:rPr>
          <w:rFonts w:ascii="Times New Roman" w:hAnsi="Times New Roman" w:cs="Times New Roman"/>
          <w:szCs w:val="22"/>
        </w:rPr>
        <w:t xml:space="preserve"> [4]</w:t>
      </w:r>
      <w:r>
        <w:rPr>
          <w:rFonts w:ascii="Times New Roman" w:hAnsi="Times New Roman" w:cs="Times New Roman"/>
          <w:szCs w:val="22"/>
        </w:rPr>
        <w:t xml:space="preserve"> proposed an upper body exoskeleton control based on the control of lower body exoskeleton named Berkeley Lower Extremity Exoskeleton (BLEEX) to stabilize the </w:t>
      </w:r>
      <w:r w:rsidR="0076745E">
        <w:rPr>
          <w:rFonts w:ascii="Times New Roman" w:hAnsi="Times New Roman" w:cs="Times New Roman"/>
          <w:szCs w:val="22"/>
        </w:rPr>
        <w:t>weapon</w:t>
      </w:r>
      <w:r>
        <w:rPr>
          <w:rFonts w:ascii="Times New Roman" w:hAnsi="Times New Roman" w:cs="Times New Roman"/>
          <w:szCs w:val="22"/>
        </w:rPr>
        <w:t xml:space="preserve"> </w:t>
      </w:r>
      <w:r w:rsidR="0076745E">
        <w:rPr>
          <w:rFonts w:ascii="Times New Roman" w:hAnsi="Times New Roman" w:cs="Times New Roman"/>
          <w:szCs w:val="22"/>
        </w:rPr>
        <w:t>held</w:t>
      </w:r>
      <w:r>
        <w:rPr>
          <w:rFonts w:ascii="Times New Roman" w:hAnsi="Times New Roman" w:cs="Times New Roman"/>
          <w:szCs w:val="22"/>
        </w:rPr>
        <w:t xml:space="preserve"> in hand and to reject disturbance in the system.</w:t>
      </w:r>
      <w:r w:rsidR="007639AE">
        <w:rPr>
          <w:rFonts w:ascii="Times New Roman" w:hAnsi="Times New Roman" w:cs="Times New Roman"/>
          <w:szCs w:val="22"/>
        </w:rPr>
        <w:t xml:space="preserve"> To model the system author used Lagrange’s method and SimMechanics package from </w:t>
      </w:r>
      <w:r w:rsidR="0076745E">
        <w:rPr>
          <w:rFonts w:ascii="Times New Roman" w:hAnsi="Times New Roman" w:cs="Times New Roman"/>
          <w:szCs w:val="22"/>
        </w:rPr>
        <w:t>MATLAB</w:t>
      </w:r>
      <w:r w:rsidR="007639AE">
        <w:rPr>
          <w:rFonts w:ascii="Times New Roman" w:hAnsi="Times New Roman" w:cs="Times New Roman"/>
          <w:szCs w:val="22"/>
        </w:rPr>
        <w:t>/Simulink. The derived equation of motion is shown</w:t>
      </w:r>
      <w:r w:rsidR="00EE34A3">
        <w:rPr>
          <w:rFonts w:ascii="Times New Roman" w:hAnsi="Times New Roman" w:cs="Times New Roman"/>
          <w:szCs w:val="22"/>
        </w:rPr>
        <w:t xml:space="preserve"> </w:t>
      </w:r>
      <w:r w:rsidR="007639AE">
        <w:rPr>
          <w:rFonts w:ascii="Times New Roman" w:hAnsi="Times New Roman" w:cs="Times New Roman"/>
          <w:szCs w:val="22"/>
        </w:rPr>
        <w:t>below</w:t>
      </w:r>
      <w:r w:rsidR="00EE34A3">
        <w:rPr>
          <w:rFonts w:ascii="Times New Roman" w:hAnsi="Times New Roman" w:cs="Times New Roman"/>
          <w:szCs w:val="22"/>
        </w:rPr>
        <w:t>,</w:t>
      </w:r>
      <w:bookmarkStart w:id="0" w:name="_GoBack"/>
      <w:bookmarkEnd w:id="0"/>
    </w:p>
    <w:p w14:paraId="758B6231" w14:textId="67ECC871" w:rsidR="007639AE" w:rsidRPr="00E60E32" w:rsidRDefault="007639AE" w:rsidP="00EE34A3">
      <w:pPr>
        <w:pStyle w:val="ListParagraph"/>
        <w:spacing w:before="240" w:after="0"/>
        <w:ind w:left="360"/>
        <w:jc w:val="both"/>
        <w:rPr>
          <w:rFonts w:ascii="Times New Roman" w:hAnsi="Times New Roman" w:cs="Times New Roman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Cs w:val="22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Cs w:val="22"/>
                </w:rPr>
                <m:t>e</m:t>
              </m:r>
            </m:sub>
          </m:sSub>
          <m:r>
            <w:rPr>
              <w:rFonts w:ascii="Cambria Math" w:hAnsi="Cambria Math" w:cs="Times New Roman"/>
              <w:szCs w:val="22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Cs w:val="22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Cs w:val="22"/>
                </w:rPr>
                <m:t>e</m:t>
              </m:r>
            </m:sub>
          </m:sSub>
          <m:acc>
            <m:accPr>
              <m:chr m:val="̈"/>
              <m:ctrlPr>
                <w:rPr>
                  <w:rFonts w:ascii="Cambria Math" w:hAnsi="Cambria Math" w:cs="Times New Roman"/>
                  <w:i/>
                  <w:szCs w:val="22"/>
                </w:rPr>
              </m:ctrlPr>
            </m:accPr>
            <m:e>
              <m:r>
                <w:rPr>
                  <w:rFonts w:ascii="Cambria Math" w:hAnsi="Cambria Math" w:cs="Times New Roman"/>
                  <w:szCs w:val="22"/>
                </w:rPr>
                <m:t>θ</m:t>
              </m:r>
            </m:e>
          </m:acc>
          <m:r>
            <w:rPr>
              <w:rFonts w:ascii="Cambria Math" w:hAnsi="Cambria Math" w:cs="Times New Roman"/>
              <w:szCs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Cs w:val="22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Cs w:val="22"/>
                </w:rPr>
                <m:t>e</m:t>
              </m:r>
            </m:sub>
          </m:sSub>
          <m:r>
            <w:rPr>
              <w:rFonts w:ascii="Cambria Math" w:hAnsi="Cambria Math" w:cs="Times New Roman"/>
              <w:szCs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Cs w:val="22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Cs w:val="22"/>
                </w:rPr>
                <m:t>e</m:t>
              </m:r>
            </m:sub>
          </m:sSub>
          <m:r>
            <w:rPr>
              <w:rFonts w:ascii="Times New Roman" w:eastAsiaTheme="minorEastAsia" w:hAnsi="Times New Roman" w:cs="Times New Roman"/>
              <w:szCs w:val="22"/>
            </w:rPr>
            <w:br/>
          </m:r>
          <m:r>
            <w:rPr>
              <w:rFonts w:ascii="Times New Roman" w:eastAsiaTheme="minorEastAsia" w:hAnsi="Times New Roman" w:cs="Times New Roman"/>
              <w:szCs w:val="22"/>
            </w:rPr>
            <w:br/>
          </m:r>
        </m:oMath>
      </m:oMathPara>
      <w:r w:rsidR="00E60E32">
        <w:rPr>
          <w:rFonts w:ascii="Times New Roman" w:eastAsiaTheme="minorEastAsia" w:hAnsi="Times New Roman" w:cs="Times New Roman"/>
          <w:szCs w:val="22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Cs w:val="22"/>
              </w:rPr>
              <m:t>T</m:t>
            </m:r>
          </m:e>
          <m:sub>
            <m:r>
              <w:rPr>
                <w:rFonts w:ascii="Cambria Math" w:hAnsi="Cambria Math" w:cs="Times New Roman"/>
                <w:szCs w:val="22"/>
              </w:rPr>
              <m:t>e</m:t>
            </m:r>
          </m:sub>
        </m:sSub>
      </m:oMath>
      <w:r w:rsidR="00E60E32">
        <w:rPr>
          <w:rFonts w:ascii="Times New Roman" w:eastAsiaTheme="minorEastAsia" w:hAnsi="Times New Roman" w:cs="Times New Roman"/>
          <w:szCs w:val="22"/>
        </w:rPr>
        <w:t xml:space="preserve"> is the input torque, </w:t>
      </w:r>
      <m:oMath>
        <m:sSub>
          <m:sSubPr>
            <m:ctrlPr>
              <w:rPr>
                <w:rFonts w:ascii="Cambria Math" w:hAnsi="Cambria Math" w:cs="Times New Roman"/>
                <w:i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Cs w:val="22"/>
              </w:rPr>
              <m:t>M</m:t>
            </m:r>
          </m:e>
          <m:sub>
            <m:r>
              <w:rPr>
                <w:rFonts w:ascii="Cambria Math" w:hAnsi="Cambria Math" w:cs="Times New Roman"/>
                <w:szCs w:val="22"/>
              </w:rPr>
              <m:t>e</m:t>
            </m:r>
          </m:sub>
        </m:sSub>
      </m:oMath>
      <w:r w:rsidR="00E60E32">
        <w:rPr>
          <w:rFonts w:ascii="Times New Roman" w:eastAsiaTheme="minorEastAsia" w:hAnsi="Times New Roman" w:cs="Times New Roman"/>
          <w:szCs w:val="22"/>
        </w:rPr>
        <w:t xml:space="preserve"> is the Mass component, </w:t>
      </w:r>
      <m:oMath>
        <m:sSub>
          <m:sSubPr>
            <m:ctrlPr>
              <w:rPr>
                <w:rFonts w:ascii="Cambria Math" w:hAnsi="Cambria Math" w:cs="Times New Roman"/>
                <w:i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Cs w:val="22"/>
              </w:rPr>
              <m:t>V</m:t>
            </m:r>
          </m:e>
          <m:sub>
            <m:r>
              <w:rPr>
                <w:rFonts w:ascii="Cambria Math" w:hAnsi="Cambria Math" w:cs="Times New Roman"/>
                <w:szCs w:val="22"/>
              </w:rPr>
              <m:t>e</m:t>
            </m:r>
          </m:sub>
        </m:sSub>
      </m:oMath>
      <w:r w:rsidR="00E60E32">
        <w:rPr>
          <w:rFonts w:ascii="Times New Roman" w:eastAsiaTheme="minorEastAsia" w:hAnsi="Times New Roman" w:cs="Times New Roman"/>
          <w:szCs w:val="22"/>
        </w:rPr>
        <w:t xml:space="preserve"> is the velocity vector, </w:t>
      </w:r>
      <m:oMath>
        <m:sSub>
          <m:sSubPr>
            <m:ctrlPr>
              <w:rPr>
                <w:rFonts w:ascii="Cambria Math" w:hAnsi="Cambria Math" w:cs="Times New Roman"/>
                <w:i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Cs w:val="22"/>
              </w:rPr>
              <m:t>G</m:t>
            </m:r>
          </m:e>
          <m:sub>
            <m:r>
              <w:rPr>
                <w:rFonts w:ascii="Cambria Math" w:hAnsi="Cambria Math" w:cs="Times New Roman"/>
                <w:szCs w:val="22"/>
              </w:rPr>
              <m:t>e</m:t>
            </m:r>
          </m:sub>
        </m:sSub>
      </m:oMath>
      <w:r w:rsidR="00E60E32">
        <w:rPr>
          <w:rFonts w:ascii="Times New Roman" w:eastAsiaTheme="minorEastAsia" w:hAnsi="Times New Roman" w:cs="Times New Roman"/>
          <w:szCs w:val="22"/>
        </w:rPr>
        <w:t xml:space="preserve"> is the gravity component and </w:t>
      </w:r>
      <m:oMath>
        <m:r>
          <w:rPr>
            <w:rFonts w:ascii="Cambria Math" w:hAnsi="Cambria Math" w:cs="Times New Roman"/>
            <w:szCs w:val="22"/>
          </w:rPr>
          <m:t>θ</m:t>
        </m:r>
      </m:oMath>
      <w:r w:rsidR="00E60E32">
        <w:rPr>
          <w:rFonts w:ascii="Times New Roman" w:eastAsiaTheme="minorEastAsia" w:hAnsi="Times New Roman" w:cs="Times New Roman"/>
          <w:szCs w:val="22"/>
        </w:rPr>
        <w:t xml:space="preserve"> is the angular position of a joint. These values have been provided in [</w:t>
      </w:r>
      <w:r w:rsidR="00944EAE">
        <w:rPr>
          <w:rFonts w:ascii="Times New Roman" w:eastAsiaTheme="minorEastAsia" w:hAnsi="Times New Roman" w:cs="Times New Roman"/>
          <w:szCs w:val="22"/>
        </w:rPr>
        <w:t>4</w:t>
      </w:r>
      <w:r w:rsidR="00E60E32">
        <w:rPr>
          <w:rFonts w:ascii="Times New Roman" w:eastAsiaTheme="minorEastAsia" w:hAnsi="Times New Roman" w:cs="Times New Roman"/>
          <w:szCs w:val="22"/>
        </w:rPr>
        <w:t xml:space="preserve">]. In simulation stage, </w:t>
      </w:r>
      <w:r w:rsidR="0076745E">
        <w:rPr>
          <w:rFonts w:ascii="Times New Roman" w:eastAsiaTheme="minorEastAsia" w:hAnsi="Times New Roman" w:cs="Times New Roman"/>
          <w:szCs w:val="22"/>
        </w:rPr>
        <w:t>elbow</w:t>
      </w:r>
      <w:r w:rsidR="00E60E32">
        <w:rPr>
          <w:rFonts w:ascii="Times New Roman" w:eastAsiaTheme="minorEastAsia" w:hAnsi="Times New Roman" w:cs="Times New Roman"/>
          <w:szCs w:val="22"/>
        </w:rPr>
        <w:t xml:space="preserve"> joint angle was within th</w:t>
      </w:r>
      <w:r w:rsidR="0076745E">
        <w:rPr>
          <w:rFonts w:ascii="Times New Roman" w:eastAsiaTheme="minorEastAsia" w:hAnsi="Times New Roman" w:cs="Times New Roman"/>
          <w:szCs w:val="22"/>
        </w:rPr>
        <w:t>e</w:t>
      </w:r>
      <w:r w:rsidR="00E60E32">
        <w:rPr>
          <w:rFonts w:ascii="Times New Roman" w:eastAsiaTheme="minorEastAsia" w:hAnsi="Times New Roman" w:cs="Times New Roman"/>
          <w:szCs w:val="22"/>
        </w:rPr>
        <w:t xml:space="preserve"> range of -0.4 rad + 0.4 rad while for shoulder joint it stayed within -0.6 rad and +0.6 rad.</w:t>
      </w:r>
    </w:p>
    <w:p w14:paraId="329547CF" w14:textId="21CF6CFD" w:rsidR="00E60E32" w:rsidRDefault="000A363E" w:rsidP="007639AE">
      <w:pPr>
        <w:pStyle w:val="ListParagraph"/>
        <w:numPr>
          <w:ilvl w:val="0"/>
          <w:numId w:val="1"/>
        </w:numPr>
        <w:spacing w:before="240" w:after="0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Fei </w:t>
      </w:r>
      <w:r>
        <w:rPr>
          <w:rFonts w:ascii="Times New Roman" w:hAnsi="Times New Roman" w:cs="Times New Roman"/>
          <w:i/>
          <w:iCs/>
          <w:szCs w:val="22"/>
        </w:rPr>
        <w:t>et al</w:t>
      </w:r>
      <w:r>
        <w:rPr>
          <w:rFonts w:ascii="Times New Roman" w:hAnsi="Times New Roman" w:cs="Times New Roman"/>
          <w:szCs w:val="22"/>
        </w:rPr>
        <w:t xml:space="preserve">., </w:t>
      </w:r>
      <w:r w:rsidR="00830E9E">
        <w:rPr>
          <w:rFonts w:ascii="Times New Roman" w:hAnsi="Times New Roman" w:cs="Times New Roman"/>
          <w:szCs w:val="22"/>
        </w:rPr>
        <w:t xml:space="preserve">2017 </w:t>
      </w:r>
      <w:r w:rsidR="00944EAE">
        <w:rPr>
          <w:rFonts w:ascii="Times New Roman" w:hAnsi="Times New Roman" w:cs="Times New Roman"/>
          <w:szCs w:val="22"/>
        </w:rPr>
        <w:t xml:space="preserve">[5] </w:t>
      </w:r>
      <w:r w:rsidR="0076745E">
        <w:rPr>
          <w:rFonts w:ascii="Times New Roman" w:hAnsi="Times New Roman" w:cs="Times New Roman"/>
          <w:szCs w:val="22"/>
        </w:rPr>
        <w:t>modelled</w:t>
      </w:r>
      <w:r w:rsidR="00830E9E">
        <w:rPr>
          <w:rFonts w:ascii="Times New Roman" w:hAnsi="Times New Roman" w:cs="Times New Roman"/>
          <w:szCs w:val="22"/>
        </w:rPr>
        <w:t xml:space="preserve"> and designed </w:t>
      </w:r>
      <w:proofErr w:type="gramStart"/>
      <w:r w:rsidR="00830E9E">
        <w:rPr>
          <w:rFonts w:ascii="Times New Roman" w:hAnsi="Times New Roman" w:cs="Times New Roman"/>
          <w:szCs w:val="22"/>
        </w:rPr>
        <w:t>a</w:t>
      </w:r>
      <w:proofErr w:type="gramEnd"/>
      <w:r w:rsidR="00830E9E">
        <w:rPr>
          <w:rFonts w:ascii="Times New Roman" w:hAnsi="Times New Roman" w:cs="Times New Roman"/>
          <w:szCs w:val="22"/>
        </w:rPr>
        <w:t xml:space="preserve"> upper body exoskeleton </w:t>
      </w:r>
      <w:r w:rsidR="00CD75DD">
        <w:rPr>
          <w:rFonts w:ascii="Times New Roman" w:hAnsi="Times New Roman" w:cs="Times New Roman"/>
          <w:szCs w:val="22"/>
        </w:rPr>
        <w:t>to control it using robust time delay estimation based Intelligent PID</w:t>
      </w:r>
      <w:r w:rsidR="00FC7E41">
        <w:rPr>
          <w:rFonts w:ascii="Times New Roman" w:hAnsi="Times New Roman" w:cs="Times New Roman"/>
          <w:szCs w:val="22"/>
        </w:rPr>
        <w:t xml:space="preserve"> (TDE-</w:t>
      </w:r>
      <w:proofErr w:type="spellStart"/>
      <w:r w:rsidR="00FC7E41">
        <w:rPr>
          <w:rFonts w:ascii="Times New Roman" w:hAnsi="Times New Roman" w:cs="Times New Roman"/>
          <w:szCs w:val="22"/>
        </w:rPr>
        <w:t>iPID</w:t>
      </w:r>
      <w:proofErr w:type="spellEnd"/>
      <w:r w:rsidR="00FC7E41">
        <w:rPr>
          <w:rFonts w:ascii="Times New Roman" w:hAnsi="Times New Roman" w:cs="Times New Roman"/>
          <w:szCs w:val="22"/>
        </w:rPr>
        <w:t>)</w:t>
      </w:r>
      <w:r w:rsidR="00CD75DD">
        <w:rPr>
          <w:rFonts w:ascii="Times New Roman" w:hAnsi="Times New Roman" w:cs="Times New Roman"/>
          <w:szCs w:val="22"/>
        </w:rPr>
        <w:t xml:space="preserve"> control and </w:t>
      </w:r>
      <w:r w:rsidR="0076745E">
        <w:rPr>
          <w:rFonts w:ascii="Times New Roman" w:hAnsi="Times New Roman" w:cs="Times New Roman"/>
          <w:szCs w:val="22"/>
        </w:rPr>
        <w:t>compared</w:t>
      </w:r>
      <w:r w:rsidR="00CD75DD">
        <w:rPr>
          <w:rFonts w:ascii="Times New Roman" w:hAnsi="Times New Roman" w:cs="Times New Roman"/>
          <w:szCs w:val="22"/>
        </w:rPr>
        <w:t xml:space="preserve"> its performance with PID control. The designed exoskeleton was 6 Do</w:t>
      </w:r>
      <w:r w:rsidR="0076745E">
        <w:rPr>
          <w:rFonts w:ascii="Times New Roman" w:hAnsi="Times New Roman" w:cs="Times New Roman"/>
          <w:szCs w:val="22"/>
        </w:rPr>
        <w:t>F</w:t>
      </w:r>
      <w:r w:rsidR="00CD75DD">
        <w:rPr>
          <w:rFonts w:ascii="Times New Roman" w:hAnsi="Times New Roman" w:cs="Times New Roman"/>
          <w:szCs w:val="22"/>
        </w:rPr>
        <w:t xml:space="preserve"> link with 3</w:t>
      </w:r>
      <w:r w:rsidR="008D70AE">
        <w:rPr>
          <w:rFonts w:ascii="Times New Roman" w:hAnsi="Times New Roman" w:cs="Times New Roman"/>
          <w:szCs w:val="22"/>
        </w:rPr>
        <w:t>-</w:t>
      </w:r>
      <w:r w:rsidR="0076745E">
        <w:rPr>
          <w:rFonts w:ascii="Times New Roman" w:hAnsi="Times New Roman" w:cs="Times New Roman"/>
          <w:szCs w:val="22"/>
        </w:rPr>
        <w:t>joints</w:t>
      </w:r>
      <w:r w:rsidR="00CD75DD">
        <w:rPr>
          <w:rFonts w:ascii="Times New Roman" w:hAnsi="Times New Roman" w:cs="Times New Roman"/>
          <w:szCs w:val="22"/>
        </w:rPr>
        <w:t xml:space="preserve"> on Shoulder, 1 on elbow, 1 for pronation/supination and 1 at wrist joint. Its inverse kinematic model was extracted using DH parameters. The performance of PID and TDE-</w:t>
      </w:r>
      <w:proofErr w:type="spellStart"/>
      <w:r w:rsidR="00CD75DD">
        <w:rPr>
          <w:rFonts w:ascii="Times New Roman" w:hAnsi="Times New Roman" w:cs="Times New Roman"/>
          <w:szCs w:val="22"/>
        </w:rPr>
        <w:t>iPID</w:t>
      </w:r>
      <w:proofErr w:type="spellEnd"/>
      <w:r w:rsidR="00CD75DD">
        <w:rPr>
          <w:rFonts w:ascii="Times New Roman" w:hAnsi="Times New Roman" w:cs="Times New Roman"/>
          <w:szCs w:val="22"/>
        </w:rPr>
        <w:t xml:space="preserve"> was similar but easy to control parameters of TDE-</w:t>
      </w:r>
      <w:proofErr w:type="spellStart"/>
      <w:r w:rsidR="00CD75DD">
        <w:rPr>
          <w:rFonts w:ascii="Times New Roman" w:hAnsi="Times New Roman" w:cs="Times New Roman"/>
          <w:szCs w:val="22"/>
        </w:rPr>
        <w:t>iPID</w:t>
      </w:r>
      <w:proofErr w:type="spellEnd"/>
      <w:r w:rsidR="00CD75DD">
        <w:rPr>
          <w:rFonts w:ascii="Times New Roman" w:hAnsi="Times New Roman" w:cs="Times New Roman"/>
          <w:szCs w:val="22"/>
        </w:rPr>
        <w:t xml:space="preserve"> than PID.</w:t>
      </w:r>
    </w:p>
    <w:p w14:paraId="02F2BE8E" w14:textId="0109C4E6" w:rsidR="00DA3D69" w:rsidRDefault="000D0DA3" w:rsidP="007639AE">
      <w:pPr>
        <w:pStyle w:val="ListParagraph"/>
        <w:numPr>
          <w:ilvl w:val="0"/>
          <w:numId w:val="1"/>
        </w:numPr>
        <w:spacing w:before="240" w:after="0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Jonas </w:t>
      </w:r>
      <w:r>
        <w:rPr>
          <w:rFonts w:ascii="Times New Roman" w:hAnsi="Times New Roman" w:cs="Times New Roman"/>
          <w:i/>
          <w:iCs/>
          <w:szCs w:val="22"/>
        </w:rPr>
        <w:t>et al</w:t>
      </w:r>
      <w:r>
        <w:rPr>
          <w:rFonts w:ascii="Times New Roman" w:hAnsi="Times New Roman" w:cs="Times New Roman"/>
          <w:szCs w:val="22"/>
        </w:rPr>
        <w:t>., 2019</w:t>
      </w:r>
      <w:r w:rsidR="00944EAE">
        <w:rPr>
          <w:rFonts w:ascii="Times New Roman" w:hAnsi="Times New Roman" w:cs="Times New Roman"/>
          <w:szCs w:val="22"/>
        </w:rPr>
        <w:t xml:space="preserve"> [6]</w:t>
      </w:r>
      <w:r>
        <w:rPr>
          <w:rFonts w:ascii="Times New Roman" w:hAnsi="Times New Roman" w:cs="Times New Roman"/>
          <w:szCs w:val="22"/>
        </w:rPr>
        <w:t xml:space="preserve"> </w:t>
      </w:r>
      <w:r w:rsidR="0076745E">
        <w:rPr>
          <w:rFonts w:ascii="Times New Roman" w:hAnsi="Times New Roman" w:cs="Times New Roman"/>
          <w:szCs w:val="22"/>
        </w:rPr>
        <w:t>presents</w:t>
      </w:r>
      <w:r>
        <w:rPr>
          <w:rFonts w:ascii="Times New Roman" w:hAnsi="Times New Roman" w:cs="Times New Roman"/>
          <w:szCs w:val="22"/>
        </w:rPr>
        <w:t xml:space="preserve"> a modified double parallelogram linkage (DPL) mechanism, which allows active assistance to flexion/</w:t>
      </w:r>
      <w:r w:rsidR="0076745E">
        <w:rPr>
          <w:rFonts w:ascii="Times New Roman" w:hAnsi="Times New Roman" w:cs="Times New Roman"/>
          <w:szCs w:val="22"/>
        </w:rPr>
        <w:t>extension</w:t>
      </w:r>
      <w:r>
        <w:rPr>
          <w:rFonts w:ascii="Times New Roman" w:hAnsi="Times New Roman" w:cs="Times New Roman"/>
          <w:szCs w:val="22"/>
        </w:rPr>
        <w:t xml:space="preserve"> in sagittal plane of the shoulder joint and also providing 2 passive joints to allow user to move arm in other two planes. It uses a cable driven </w:t>
      </w:r>
      <w:r>
        <w:rPr>
          <w:rFonts w:ascii="Times New Roman" w:hAnsi="Times New Roman" w:cs="Times New Roman"/>
          <w:szCs w:val="22"/>
        </w:rPr>
        <w:lastRenderedPageBreak/>
        <w:t xml:space="preserve">mechanism to provide torque at shoulder joint from the motor placed in the lower back of the user. The cable between two pullies were modified reduce slacking and losing </w:t>
      </w:r>
      <w:r w:rsidR="0076745E">
        <w:rPr>
          <w:rFonts w:ascii="Times New Roman" w:hAnsi="Times New Roman" w:cs="Times New Roman"/>
          <w:szCs w:val="22"/>
        </w:rPr>
        <w:t>tension</w:t>
      </w:r>
      <w:r>
        <w:rPr>
          <w:rFonts w:ascii="Times New Roman" w:hAnsi="Times New Roman" w:cs="Times New Roman"/>
          <w:szCs w:val="22"/>
        </w:rPr>
        <w:t xml:space="preserve"> in the cable when two pullies move with respect to each other.</w:t>
      </w:r>
    </w:p>
    <w:p w14:paraId="0ED1DB49" w14:textId="54F8E43B" w:rsidR="00B527EB" w:rsidRPr="00B527EB" w:rsidRDefault="00893780" w:rsidP="00B527EB">
      <w:pPr>
        <w:pStyle w:val="ListParagraph"/>
        <w:numPr>
          <w:ilvl w:val="0"/>
          <w:numId w:val="1"/>
        </w:numPr>
        <w:spacing w:before="240" w:after="0"/>
        <w:jc w:val="both"/>
        <w:rPr>
          <w:rFonts w:ascii="Times New Roman" w:hAnsi="Times New Roman" w:cs="Times New Roman"/>
          <w:szCs w:val="22"/>
        </w:rPr>
      </w:pPr>
      <w:proofErr w:type="spellStart"/>
      <w:r>
        <w:rPr>
          <w:rFonts w:ascii="Times New Roman" w:hAnsi="Times New Roman" w:cs="Times New Roman"/>
          <w:szCs w:val="22"/>
        </w:rPr>
        <w:t>Quispe</w:t>
      </w:r>
      <w:proofErr w:type="spellEnd"/>
      <w:r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i/>
          <w:iCs/>
          <w:szCs w:val="22"/>
        </w:rPr>
        <w:t>et al</w:t>
      </w:r>
      <w:r>
        <w:rPr>
          <w:rFonts w:ascii="Times New Roman" w:hAnsi="Times New Roman" w:cs="Times New Roman"/>
          <w:szCs w:val="22"/>
        </w:rPr>
        <w:t>., 2020</w:t>
      </w:r>
      <w:r w:rsidR="00944EAE">
        <w:rPr>
          <w:rFonts w:ascii="Times New Roman" w:hAnsi="Times New Roman" w:cs="Times New Roman"/>
          <w:szCs w:val="22"/>
        </w:rPr>
        <w:t xml:space="preserve"> [7]</w:t>
      </w:r>
      <w:r>
        <w:rPr>
          <w:rFonts w:ascii="Times New Roman" w:hAnsi="Times New Roman" w:cs="Times New Roman"/>
          <w:szCs w:val="22"/>
        </w:rPr>
        <w:t xml:space="preserve"> compared the </w:t>
      </w:r>
      <w:r w:rsidR="0076745E">
        <w:rPr>
          <w:rFonts w:ascii="Times New Roman" w:hAnsi="Times New Roman" w:cs="Times New Roman"/>
          <w:szCs w:val="22"/>
        </w:rPr>
        <w:t>performance</w:t>
      </w:r>
      <w:r>
        <w:rPr>
          <w:rFonts w:ascii="Times New Roman" w:hAnsi="Times New Roman" w:cs="Times New Roman"/>
          <w:szCs w:val="22"/>
        </w:rPr>
        <w:t xml:space="preserve"> of the PD and PID controller using a</w:t>
      </w:r>
      <w:r w:rsidR="005B1213">
        <w:rPr>
          <w:rFonts w:ascii="Times New Roman" w:hAnsi="Times New Roman" w:cs="Times New Roman"/>
          <w:szCs w:val="22"/>
        </w:rPr>
        <w:t xml:space="preserve"> 3 DoF</w:t>
      </w:r>
      <w:r>
        <w:rPr>
          <w:rFonts w:ascii="Times New Roman" w:hAnsi="Times New Roman" w:cs="Times New Roman"/>
          <w:szCs w:val="22"/>
        </w:rPr>
        <w:t xml:space="preserve"> upper body exoskeleton by </w:t>
      </w:r>
      <w:r w:rsidR="0076745E">
        <w:rPr>
          <w:rFonts w:ascii="Times New Roman" w:hAnsi="Times New Roman" w:cs="Times New Roman"/>
          <w:szCs w:val="22"/>
        </w:rPr>
        <w:t>analysing</w:t>
      </w:r>
      <w:r>
        <w:rPr>
          <w:rFonts w:ascii="Times New Roman" w:hAnsi="Times New Roman" w:cs="Times New Roman"/>
          <w:szCs w:val="22"/>
        </w:rPr>
        <w:t xml:space="preserve"> arm trajectory</w:t>
      </w:r>
      <w:r w:rsidR="005B1213">
        <w:rPr>
          <w:rFonts w:ascii="Times New Roman" w:hAnsi="Times New Roman" w:cs="Times New Roman"/>
          <w:szCs w:val="22"/>
        </w:rPr>
        <w:t xml:space="preserve"> during rehabilitation task</w:t>
      </w:r>
      <w:r>
        <w:rPr>
          <w:rFonts w:ascii="Times New Roman" w:hAnsi="Times New Roman" w:cs="Times New Roman"/>
          <w:szCs w:val="22"/>
        </w:rPr>
        <w:t xml:space="preserve"> modelled with image recognition</w:t>
      </w:r>
      <w:r w:rsidR="005B1213">
        <w:rPr>
          <w:rFonts w:ascii="Times New Roman" w:hAnsi="Times New Roman" w:cs="Times New Roman"/>
          <w:szCs w:val="22"/>
        </w:rPr>
        <w:t>.</w:t>
      </w:r>
      <w:r w:rsidR="00B527EB">
        <w:rPr>
          <w:rFonts w:ascii="Times New Roman" w:hAnsi="Times New Roman" w:cs="Times New Roman"/>
          <w:szCs w:val="22"/>
        </w:rPr>
        <w:t xml:space="preserve"> The </w:t>
      </w:r>
      <w:r w:rsidR="0076745E">
        <w:rPr>
          <w:rFonts w:ascii="Times New Roman" w:hAnsi="Times New Roman" w:cs="Times New Roman"/>
          <w:szCs w:val="22"/>
        </w:rPr>
        <w:t>design</w:t>
      </w:r>
      <w:r w:rsidR="00B527EB">
        <w:rPr>
          <w:rFonts w:ascii="Times New Roman" w:hAnsi="Times New Roman" w:cs="Times New Roman"/>
          <w:szCs w:val="22"/>
        </w:rPr>
        <w:t xml:space="preserve"> </w:t>
      </w:r>
      <w:r w:rsidR="0076745E">
        <w:rPr>
          <w:rFonts w:ascii="Times New Roman" w:hAnsi="Times New Roman" w:cs="Times New Roman"/>
          <w:szCs w:val="22"/>
        </w:rPr>
        <w:t>includes</w:t>
      </w:r>
      <w:r w:rsidR="00B527EB">
        <w:rPr>
          <w:rFonts w:ascii="Times New Roman" w:hAnsi="Times New Roman" w:cs="Times New Roman"/>
          <w:szCs w:val="22"/>
        </w:rPr>
        <w:t xml:space="preserve"> 2 </w:t>
      </w:r>
      <w:r w:rsidR="0076745E">
        <w:rPr>
          <w:rFonts w:ascii="Times New Roman" w:hAnsi="Times New Roman" w:cs="Times New Roman"/>
          <w:szCs w:val="22"/>
        </w:rPr>
        <w:t>DoF</w:t>
      </w:r>
      <w:r w:rsidR="00B527EB">
        <w:rPr>
          <w:rFonts w:ascii="Times New Roman" w:hAnsi="Times New Roman" w:cs="Times New Roman"/>
          <w:szCs w:val="22"/>
        </w:rPr>
        <w:t xml:space="preserve"> at shoulder and 1 at elbow.</w:t>
      </w:r>
      <w:r w:rsidR="005B1213">
        <w:rPr>
          <w:rFonts w:ascii="Times New Roman" w:hAnsi="Times New Roman" w:cs="Times New Roman"/>
          <w:szCs w:val="22"/>
        </w:rPr>
        <w:t xml:space="preserve"> </w:t>
      </w:r>
      <w:r w:rsidR="00B62DF7">
        <w:rPr>
          <w:rFonts w:ascii="Times New Roman" w:hAnsi="Times New Roman" w:cs="Times New Roman"/>
          <w:szCs w:val="22"/>
        </w:rPr>
        <w:t>The dynamic model was designed in Simulink</w:t>
      </w:r>
      <w:r w:rsidR="00B527EB">
        <w:rPr>
          <w:rFonts w:ascii="Times New Roman" w:hAnsi="Times New Roman" w:cs="Times New Roman"/>
          <w:szCs w:val="22"/>
        </w:rPr>
        <w:t>. It was found that in shoulder joints PD control performed better than PID by 12.84 % and 24.91 % in abduction/adduction and flexion/ext</w:t>
      </w:r>
      <w:r w:rsidR="0076745E">
        <w:rPr>
          <w:rFonts w:ascii="Times New Roman" w:hAnsi="Times New Roman" w:cs="Times New Roman"/>
          <w:szCs w:val="22"/>
        </w:rPr>
        <w:t>ens</w:t>
      </w:r>
      <w:r w:rsidR="00B527EB">
        <w:rPr>
          <w:rFonts w:ascii="Times New Roman" w:hAnsi="Times New Roman" w:cs="Times New Roman"/>
          <w:szCs w:val="22"/>
        </w:rPr>
        <w:t>ion while in elbow flexion/extension PID was better than PD by 8.38 %.</w:t>
      </w:r>
    </w:p>
    <w:p w14:paraId="762CDC22" w14:textId="77777777" w:rsidR="00992994" w:rsidRDefault="00992994" w:rsidP="00992994">
      <w:pPr>
        <w:spacing w:before="240" w:after="0"/>
        <w:jc w:val="both"/>
        <w:rPr>
          <w:rFonts w:ascii="Times New Roman" w:hAnsi="Times New Roman" w:cs="Times New Roman"/>
          <w:szCs w:val="22"/>
        </w:rPr>
      </w:pPr>
    </w:p>
    <w:p w14:paraId="3205F32C" w14:textId="77777777" w:rsidR="007A4AF9" w:rsidRDefault="007A4AF9" w:rsidP="007A4AF9">
      <w:pPr>
        <w:spacing w:before="240" w:after="0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Work</w:t>
      </w:r>
    </w:p>
    <w:p w14:paraId="294EAB57" w14:textId="6BEAFB39" w:rsidR="002863B2" w:rsidRDefault="002863B2" w:rsidP="007A4AF9">
      <w:pPr>
        <w:spacing w:before="240" w:after="0"/>
        <w:jc w:val="both"/>
        <w:rPr>
          <w:rFonts w:ascii="Times New Roman" w:hAnsi="Times New Roman" w:cs="Times New Roman"/>
          <w:szCs w:val="22"/>
        </w:rPr>
      </w:pPr>
    </w:p>
    <w:p w14:paraId="4A0FDF9A" w14:textId="77777777" w:rsidR="00992994" w:rsidRDefault="00992994" w:rsidP="007A4AF9">
      <w:pPr>
        <w:spacing w:before="240"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5E01FD39" w14:textId="77777777" w:rsidR="007A4AF9" w:rsidRDefault="007A4AF9" w:rsidP="007A4AF9">
      <w:pPr>
        <w:spacing w:before="240" w:after="0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Future Work</w:t>
      </w:r>
    </w:p>
    <w:p w14:paraId="0D5C4B3A" w14:textId="4E9EA8BF" w:rsidR="007A4AF9" w:rsidRDefault="00932F4C" w:rsidP="007A4AF9">
      <w:pPr>
        <w:spacing w:before="240" w:after="0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More.</w:t>
      </w:r>
    </w:p>
    <w:p w14:paraId="28BEA98B" w14:textId="77777777" w:rsidR="00992994" w:rsidRDefault="00992994" w:rsidP="007A4AF9">
      <w:pPr>
        <w:spacing w:before="240"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1E0730C5" w14:textId="7314DAC0" w:rsidR="00572859" w:rsidRDefault="007A4AF9" w:rsidP="00572859">
      <w:pPr>
        <w:spacing w:before="240" w:after="0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Reference</w:t>
      </w:r>
    </w:p>
    <w:p w14:paraId="0218F722" w14:textId="77777777" w:rsidR="00572859" w:rsidRPr="00572859" w:rsidRDefault="00572859" w:rsidP="00747714">
      <w:pPr>
        <w:spacing w:before="240" w:after="0"/>
        <w:jc w:val="both"/>
        <w:rPr>
          <w:rFonts w:ascii="Times New Roman" w:hAnsi="Times New Roman" w:cs="Times New Roman"/>
          <w:szCs w:val="22"/>
        </w:rPr>
      </w:pPr>
    </w:p>
    <w:p w14:paraId="0818D5C8" w14:textId="0EF302B1" w:rsidR="00572859" w:rsidRDefault="00572859" w:rsidP="00747714">
      <w:pPr>
        <w:pStyle w:val="ListParagraph"/>
        <w:numPr>
          <w:ilvl w:val="0"/>
          <w:numId w:val="3"/>
        </w:numPr>
        <w:spacing w:after="0" w:line="240" w:lineRule="auto"/>
        <w:ind w:right="9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8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K. Warburton, A. C. de Oliveira, E. M. Ogden, Y. Yun, J. Sulzer, and A. D. Deshpande, “Mirrored movement therapy using an upper body robotic exoskeleton for stroke,” in </w:t>
      </w:r>
      <w:r w:rsidRPr="0057285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2017 International Symposium on Wearable Robotics and Rehabilitation (</w:t>
      </w:r>
      <w:proofErr w:type="spellStart"/>
      <w:r w:rsidRPr="0057285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WeRob</w:t>
      </w:r>
      <w:proofErr w:type="spellEnd"/>
      <w:r w:rsidRPr="0057285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)</w:t>
      </w:r>
      <w:r w:rsidRPr="005728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Houston, TX, Nov. 2017, pp. 1–2. </w:t>
      </w:r>
      <w:proofErr w:type="spellStart"/>
      <w:r w:rsidRPr="00572859">
        <w:rPr>
          <w:rFonts w:ascii="Times New Roman" w:eastAsia="Times New Roman" w:hAnsi="Times New Roman" w:cs="Times New Roman"/>
          <w:sz w:val="24"/>
          <w:szCs w:val="24"/>
          <w:lang w:eastAsia="en-IN"/>
        </w:rPr>
        <w:t>doi</w:t>
      </w:r>
      <w:proofErr w:type="spellEnd"/>
      <w:r w:rsidRPr="005728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hyperlink r:id="rId5" w:history="1">
        <w:r w:rsidRPr="005728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10.1109/WEROB.2017.8383836</w:t>
        </w:r>
      </w:hyperlink>
      <w:r w:rsidRPr="0057285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BBAF4D4" w14:textId="0413EB3B" w:rsidR="00572859" w:rsidRPr="00581C57" w:rsidRDefault="00581C57" w:rsidP="00747714">
      <w:pPr>
        <w:pStyle w:val="ListParagraph"/>
        <w:numPr>
          <w:ilvl w:val="0"/>
          <w:numId w:val="3"/>
        </w:numPr>
        <w:spacing w:after="0" w:line="240" w:lineRule="auto"/>
        <w:ind w:right="9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C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T. Xiao, Y. Zhang, L. </w:t>
      </w:r>
      <w:proofErr w:type="spellStart"/>
      <w:r w:rsidRPr="00581C57">
        <w:rPr>
          <w:rFonts w:ascii="Times New Roman" w:eastAsia="Times New Roman" w:hAnsi="Times New Roman" w:cs="Times New Roman"/>
          <w:sz w:val="24"/>
          <w:szCs w:val="24"/>
          <w:lang w:eastAsia="en-IN"/>
        </w:rPr>
        <w:t>Qiang</w:t>
      </w:r>
      <w:proofErr w:type="spellEnd"/>
      <w:r w:rsidRPr="00581C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L. Li, and C. Guo, “Weight-assisted exoskeleton knee joint plunger cylinder control optimization,” </w:t>
      </w:r>
      <w:r w:rsidRPr="00581C5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Journal of King Saud University - Engineering Sciences</w:t>
      </w:r>
      <w:r w:rsidRPr="00581C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vol. 34, no. 1, pp. 10–16, Jan. 2022, </w:t>
      </w:r>
      <w:proofErr w:type="spellStart"/>
      <w:r w:rsidRPr="00581C57">
        <w:rPr>
          <w:rFonts w:ascii="Times New Roman" w:eastAsia="Times New Roman" w:hAnsi="Times New Roman" w:cs="Times New Roman"/>
          <w:sz w:val="24"/>
          <w:szCs w:val="24"/>
          <w:lang w:eastAsia="en-IN"/>
        </w:rPr>
        <w:t>doi</w:t>
      </w:r>
      <w:proofErr w:type="spellEnd"/>
      <w:r w:rsidRPr="00581C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hyperlink r:id="rId6" w:history="1">
        <w:r w:rsidRPr="00581C5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10.1016/j.jksues.2021.11.010</w:t>
        </w:r>
      </w:hyperlink>
      <w:r w:rsidRPr="00581C5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A06AC20" w14:textId="77777777" w:rsidR="00572859" w:rsidRPr="00572859" w:rsidRDefault="00572859" w:rsidP="00747714">
      <w:pPr>
        <w:pStyle w:val="ListParagraph"/>
        <w:numPr>
          <w:ilvl w:val="0"/>
          <w:numId w:val="3"/>
        </w:numPr>
        <w:spacing w:after="0" w:line="240" w:lineRule="auto"/>
        <w:ind w:right="9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8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K. Wang, P. Wu, X. Peng, and Z. Dai, “Study on Dynamic Solution of Upper Body Gravity </w:t>
      </w:r>
      <w:proofErr w:type="spellStart"/>
      <w:r w:rsidRPr="00572859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</w:t>
      </w:r>
      <w:proofErr w:type="spellEnd"/>
      <w:r w:rsidRPr="005728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Exoskeleton Based on Maplesim,” in </w:t>
      </w:r>
      <w:r w:rsidRPr="0057285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2020 International Conference on Computer Science and Management Technology (ICCSMT)</w:t>
      </w:r>
      <w:r w:rsidRPr="005728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Shanghai, China, Nov. 2020, pp. 254–257. </w:t>
      </w:r>
      <w:proofErr w:type="spellStart"/>
      <w:r w:rsidRPr="00572859">
        <w:rPr>
          <w:rFonts w:ascii="Times New Roman" w:eastAsia="Times New Roman" w:hAnsi="Times New Roman" w:cs="Times New Roman"/>
          <w:sz w:val="24"/>
          <w:szCs w:val="24"/>
          <w:lang w:eastAsia="en-IN"/>
        </w:rPr>
        <w:t>doi</w:t>
      </w:r>
      <w:proofErr w:type="spellEnd"/>
      <w:r w:rsidRPr="005728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hyperlink r:id="rId7" w:history="1">
        <w:r w:rsidRPr="005728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10.1109/ICCSMT51754.2020.00059</w:t>
        </w:r>
      </w:hyperlink>
      <w:r w:rsidRPr="0057285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9B33C61" w14:textId="77777777" w:rsidR="003519FC" w:rsidRPr="003519FC" w:rsidRDefault="003519FC" w:rsidP="00747714">
      <w:pPr>
        <w:pStyle w:val="ListParagraph"/>
        <w:numPr>
          <w:ilvl w:val="0"/>
          <w:numId w:val="3"/>
        </w:numPr>
        <w:spacing w:after="0" w:line="240" w:lineRule="auto"/>
        <w:ind w:right="9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19FC">
        <w:rPr>
          <w:rFonts w:ascii="Times New Roman" w:eastAsia="Times New Roman" w:hAnsi="Times New Roman" w:cs="Times New Roman"/>
          <w:sz w:val="24"/>
          <w:szCs w:val="24"/>
          <w:lang w:eastAsia="en-IN"/>
        </w:rPr>
        <w:t>S. B. Winder and J. M. Esposito, “</w:t>
      </w:r>
      <w:proofErr w:type="spellStart"/>
      <w:r w:rsidRPr="003519FC">
        <w:rPr>
          <w:rFonts w:ascii="Times New Roman" w:eastAsia="Times New Roman" w:hAnsi="Times New Roman" w:cs="Times New Roman"/>
          <w:sz w:val="24"/>
          <w:szCs w:val="24"/>
          <w:lang w:eastAsia="en-IN"/>
        </w:rPr>
        <w:t>Modeling</w:t>
      </w:r>
      <w:proofErr w:type="spellEnd"/>
      <w:r w:rsidRPr="003519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Control of an Upper-Body Exoskeleton,” in </w:t>
      </w:r>
      <w:r w:rsidRPr="003519F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2008 40th </w:t>
      </w:r>
      <w:proofErr w:type="spellStart"/>
      <w:r w:rsidRPr="003519F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Southeastern</w:t>
      </w:r>
      <w:proofErr w:type="spellEnd"/>
      <w:r w:rsidRPr="003519F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Symposium on System Theory (SSST)</w:t>
      </w:r>
      <w:r w:rsidRPr="003519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New Orleans, LA, USA, Mar. 2008, pp. 263–268. </w:t>
      </w:r>
      <w:proofErr w:type="spellStart"/>
      <w:r w:rsidRPr="003519FC">
        <w:rPr>
          <w:rFonts w:ascii="Times New Roman" w:eastAsia="Times New Roman" w:hAnsi="Times New Roman" w:cs="Times New Roman"/>
          <w:sz w:val="24"/>
          <w:szCs w:val="24"/>
          <w:lang w:eastAsia="en-IN"/>
        </w:rPr>
        <w:t>doi</w:t>
      </w:r>
      <w:proofErr w:type="spellEnd"/>
      <w:r w:rsidRPr="003519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hyperlink r:id="rId8" w:history="1">
        <w:r w:rsidRPr="003519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10.1109/SSST.2008.4480234</w:t>
        </w:r>
      </w:hyperlink>
      <w:r w:rsidRPr="003519F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E17D8FC" w14:textId="77777777" w:rsidR="0034078E" w:rsidRPr="0034078E" w:rsidRDefault="0034078E" w:rsidP="00747714">
      <w:pPr>
        <w:pStyle w:val="ListParagraph"/>
        <w:numPr>
          <w:ilvl w:val="0"/>
          <w:numId w:val="3"/>
        </w:numPr>
        <w:spacing w:after="0" w:line="240" w:lineRule="auto"/>
        <w:ind w:right="9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07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F. Fei, H. Wang, and Y. Tian, “Robust Time Delay Estimation Based Intelligent PID Control of a 6DOF Upper-Limb Exoskeleton Robot,” in </w:t>
      </w:r>
      <w:r w:rsidRPr="0034078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2017 9th International Conference on Intelligent Human-Machine Systems and Cybernetics (IHMSC)</w:t>
      </w:r>
      <w:r w:rsidRPr="003407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Hangzhou, Aug. 2017, pp. 386–389. </w:t>
      </w:r>
      <w:proofErr w:type="spellStart"/>
      <w:r w:rsidRPr="0034078E">
        <w:rPr>
          <w:rFonts w:ascii="Times New Roman" w:eastAsia="Times New Roman" w:hAnsi="Times New Roman" w:cs="Times New Roman"/>
          <w:sz w:val="24"/>
          <w:szCs w:val="24"/>
          <w:lang w:eastAsia="en-IN"/>
        </w:rPr>
        <w:t>doi</w:t>
      </w:r>
      <w:proofErr w:type="spellEnd"/>
      <w:r w:rsidRPr="003407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hyperlink r:id="rId9" w:history="1">
        <w:r w:rsidRPr="003407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10.1109/IHMSC.2017.198</w:t>
        </w:r>
      </w:hyperlink>
      <w:r w:rsidRPr="0034078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4B05540" w14:textId="6BBF4EBD" w:rsidR="00645F96" w:rsidRPr="00AE1E84" w:rsidRDefault="002C057C" w:rsidP="00747714">
      <w:pPr>
        <w:pStyle w:val="ListParagraph"/>
        <w:numPr>
          <w:ilvl w:val="0"/>
          <w:numId w:val="3"/>
        </w:numPr>
        <w:spacing w:after="0" w:line="240" w:lineRule="auto"/>
        <w:ind w:right="9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M. Jones, C. Bouffard, and B. </w:t>
      </w:r>
      <w:proofErr w:type="spellStart"/>
      <w:r w:rsidRPr="002C057C">
        <w:rPr>
          <w:rFonts w:ascii="Times New Roman" w:eastAsia="Times New Roman" w:hAnsi="Times New Roman" w:cs="Times New Roman"/>
          <w:sz w:val="24"/>
          <w:szCs w:val="24"/>
          <w:lang w:eastAsia="en-IN"/>
        </w:rPr>
        <w:t>Hejrati</w:t>
      </w:r>
      <w:proofErr w:type="spellEnd"/>
      <w:r w:rsidRPr="002C0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“A Shoulder Mechanism for Assisting Upper Arm Function with Distally Located Actuators,” in </w:t>
      </w:r>
      <w:r w:rsidRPr="002C057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2019 41st Annual International Conference of the IEEE Engineering in Medicine and Biology Society (EMBC)</w:t>
      </w:r>
      <w:r w:rsidRPr="002C0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Berlin, Germany, Jul. 2019, pp. 6233–6236. </w:t>
      </w:r>
      <w:proofErr w:type="spellStart"/>
      <w:r w:rsidRPr="002C057C">
        <w:rPr>
          <w:rFonts w:ascii="Times New Roman" w:eastAsia="Times New Roman" w:hAnsi="Times New Roman" w:cs="Times New Roman"/>
          <w:sz w:val="24"/>
          <w:szCs w:val="24"/>
          <w:lang w:eastAsia="en-IN"/>
        </w:rPr>
        <w:t>doi</w:t>
      </w:r>
      <w:proofErr w:type="spellEnd"/>
      <w:r w:rsidRPr="002C05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hyperlink r:id="rId10" w:history="1">
        <w:r w:rsidRPr="002C05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10.1109/EMBC.2019.8856984</w:t>
        </w:r>
      </w:hyperlink>
      <w:r w:rsidRPr="002C057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5ABA4A1" w14:textId="69035B38" w:rsidR="00747714" w:rsidRPr="00747714" w:rsidRDefault="00944EAE" w:rsidP="00C06257">
      <w:pPr>
        <w:pStyle w:val="ListParagraph"/>
        <w:numPr>
          <w:ilvl w:val="0"/>
          <w:numId w:val="3"/>
        </w:numPr>
        <w:spacing w:after="0" w:line="240" w:lineRule="auto"/>
        <w:ind w:right="9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4E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J. N. </w:t>
      </w:r>
      <w:proofErr w:type="spellStart"/>
      <w:r w:rsidRPr="00944EAE">
        <w:rPr>
          <w:rFonts w:ascii="Times New Roman" w:eastAsia="Times New Roman" w:hAnsi="Times New Roman" w:cs="Times New Roman"/>
          <w:sz w:val="24"/>
          <w:szCs w:val="24"/>
          <w:lang w:eastAsia="en-IN"/>
        </w:rPr>
        <w:t>Quispe</w:t>
      </w:r>
      <w:proofErr w:type="spellEnd"/>
      <w:r w:rsidRPr="00944E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D. C. Solis, J. H. Leon, and L. M. </w:t>
      </w:r>
      <w:proofErr w:type="spellStart"/>
      <w:r w:rsidRPr="00944EAE">
        <w:rPr>
          <w:rFonts w:ascii="Times New Roman" w:eastAsia="Times New Roman" w:hAnsi="Times New Roman" w:cs="Times New Roman"/>
          <w:sz w:val="24"/>
          <w:szCs w:val="24"/>
          <w:lang w:eastAsia="en-IN"/>
        </w:rPr>
        <w:t>Ccopa</w:t>
      </w:r>
      <w:proofErr w:type="spellEnd"/>
      <w:r w:rsidRPr="00944E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“Performance comparison between PD and PID Controller in an upper limb Exoskeleton by </w:t>
      </w:r>
      <w:proofErr w:type="spellStart"/>
      <w:r w:rsidRPr="00944EAE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analyzing</w:t>
      </w:r>
      <w:proofErr w:type="spellEnd"/>
      <w:r w:rsidRPr="00944E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 arm trajectory </w:t>
      </w:r>
      <w:proofErr w:type="spellStart"/>
      <w:r w:rsidRPr="00944EA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modeled</w:t>
      </w:r>
      <w:proofErr w:type="spellEnd"/>
      <w:r w:rsidRPr="00944E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Image Recognition,” in </w:t>
      </w:r>
      <w:r w:rsidRPr="00944EA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2020 IEEE Engineering International Research Conference (EIRCON)</w:t>
      </w:r>
      <w:r w:rsidRPr="00944E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Lima, Peru, Oct. 2020, pp. 1–4. </w:t>
      </w:r>
      <w:proofErr w:type="spellStart"/>
      <w:r w:rsidRPr="00944EAE">
        <w:rPr>
          <w:rFonts w:ascii="Times New Roman" w:eastAsia="Times New Roman" w:hAnsi="Times New Roman" w:cs="Times New Roman"/>
          <w:sz w:val="24"/>
          <w:szCs w:val="24"/>
          <w:lang w:eastAsia="en-IN"/>
        </w:rPr>
        <w:t>doi</w:t>
      </w:r>
      <w:proofErr w:type="spellEnd"/>
      <w:r w:rsidRPr="00944E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hyperlink r:id="rId11" w:history="1">
        <w:r w:rsidRPr="00944E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10.1109/EIRCON51178.2020.9254082</w:t>
        </w:r>
      </w:hyperlink>
      <w:r w:rsidRPr="00944EA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57BCFB5" w14:textId="563F1BA5" w:rsidR="00747714" w:rsidRDefault="00747714" w:rsidP="00C06257">
      <w:pPr>
        <w:pStyle w:val="ListParagraph"/>
        <w:numPr>
          <w:ilvl w:val="0"/>
          <w:numId w:val="3"/>
        </w:numPr>
        <w:spacing w:after="0" w:line="240" w:lineRule="auto"/>
        <w:ind w:right="9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77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Wen Yu and J. Rosen, “Neural PID Control of Robot Manipulators </w:t>
      </w:r>
      <w:proofErr w:type="gramStart"/>
      <w:r w:rsidRPr="00747714">
        <w:rPr>
          <w:rFonts w:ascii="Times New Roman" w:eastAsia="Times New Roman" w:hAnsi="Times New Roman" w:cs="Times New Roman"/>
          <w:sz w:val="24"/>
          <w:szCs w:val="24"/>
          <w:lang w:eastAsia="en-IN"/>
        </w:rPr>
        <w:t>With</w:t>
      </w:r>
      <w:proofErr w:type="gramEnd"/>
      <w:r w:rsidRPr="007477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Application to an Upper Limb Exoskeleton,” </w:t>
      </w:r>
      <w:r w:rsidRPr="0074771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IEEE Trans. </w:t>
      </w:r>
      <w:proofErr w:type="spellStart"/>
      <w:r w:rsidRPr="0074771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Cybern</w:t>
      </w:r>
      <w:proofErr w:type="spellEnd"/>
      <w:r w:rsidRPr="0074771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.</w:t>
      </w:r>
      <w:r w:rsidRPr="007477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vol. 43, no. 2, pp. 673–684, Apr. 2013, </w:t>
      </w:r>
      <w:proofErr w:type="spellStart"/>
      <w:r w:rsidRPr="00747714">
        <w:rPr>
          <w:rFonts w:ascii="Times New Roman" w:eastAsia="Times New Roman" w:hAnsi="Times New Roman" w:cs="Times New Roman"/>
          <w:sz w:val="24"/>
          <w:szCs w:val="24"/>
          <w:lang w:eastAsia="en-IN"/>
        </w:rPr>
        <w:t>doi</w:t>
      </w:r>
      <w:proofErr w:type="spellEnd"/>
      <w:r w:rsidRPr="007477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hyperlink r:id="rId12" w:history="1">
        <w:r w:rsidRPr="007477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10.1109/TSMCB.2012.2214381</w:t>
        </w:r>
      </w:hyperlink>
      <w:r w:rsidRPr="0074771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D998B4F" w14:textId="77777777" w:rsidR="005F0AC5" w:rsidRDefault="005F0AC5" w:rsidP="00C06257">
      <w:pPr>
        <w:pStyle w:val="ListParagraph"/>
        <w:numPr>
          <w:ilvl w:val="0"/>
          <w:numId w:val="3"/>
        </w:numPr>
        <w:spacing w:after="0" w:line="240" w:lineRule="auto"/>
        <w:ind w:right="9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0A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K. Shi, A. Song, and H. Li, “Optimized Design for Cable-Driven Shoulder-Elbow Exoskeleton Robot,” </w:t>
      </w:r>
      <w:r w:rsidRPr="005F0AC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IEEE Access</w:t>
      </w:r>
      <w:r w:rsidRPr="005F0A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vol. 9, pp. 68197–68207, 2021, </w:t>
      </w:r>
      <w:proofErr w:type="spellStart"/>
      <w:r w:rsidRPr="005F0AC5">
        <w:rPr>
          <w:rFonts w:ascii="Times New Roman" w:eastAsia="Times New Roman" w:hAnsi="Times New Roman" w:cs="Times New Roman"/>
          <w:sz w:val="24"/>
          <w:szCs w:val="24"/>
          <w:lang w:eastAsia="en-IN"/>
        </w:rPr>
        <w:t>doi</w:t>
      </w:r>
      <w:proofErr w:type="spellEnd"/>
      <w:r w:rsidRPr="005F0A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hyperlink r:id="rId13" w:history="1">
        <w:r w:rsidRPr="005F0A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10.1109/ACCESS.2021.3077365</w:t>
        </w:r>
      </w:hyperlink>
      <w:r w:rsidRPr="005F0AC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E146CD2" w14:textId="7BC96043" w:rsidR="005F0AC5" w:rsidRPr="005F0AC5" w:rsidRDefault="005F0AC5" w:rsidP="00C06257">
      <w:pPr>
        <w:pStyle w:val="ListParagraph"/>
        <w:numPr>
          <w:ilvl w:val="0"/>
          <w:numId w:val="3"/>
        </w:numPr>
        <w:spacing w:after="0" w:line="240" w:lineRule="auto"/>
        <w:ind w:right="9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0A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Y. Jung and J. Bae, “An asymmetric cable-driven mechanism for force control of exoskeleton systems,” </w:t>
      </w:r>
      <w:r w:rsidRPr="005F0AC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Mechatronics</w:t>
      </w:r>
      <w:r w:rsidRPr="005F0A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vol. 40, pp. 41–50, Dec. 2016, </w:t>
      </w:r>
      <w:proofErr w:type="spellStart"/>
      <w:r w:rsidRPr="005F0AC5">
        <w:rPr>
          <w:rFonts w:ascii="Times New Roman" w:eastAsia="Times New Roman" w:hAnsi="Times New Roman" w:cs="Times New Roman"/>
          <w:sz w:val="24"/>
          <w:szCs w:val="24"/>
          <w:lang w:eastAsia="en-IN"/>
        </w:rPr>
        <w:t>doi</w:t>
      </w:r>
      <w:proofErr w:type="spellEnd"/>
      <w:r w:rsidRPr="005F0A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hyperlink r:id="rId14" w:history="1">
        <w:r w:rsidRPr="005F0A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10.1016/j.mechatronics.2016.10.013</w:t>
        </w:r>
      </w:hyperlink>
      <w:r w:rsidRPr="005F0AC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sectPr w:rsidR="005F0AC5" w:rsidRPr="005F0A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23ADA"/>
    <w:multiLevelType w:val="hybridMultilevel"/>
    <w:tmpl w:val="12CEA9BE"/>
    <w:lvl w:ilvl="0" w:tplc="2BE201AC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B6666C8"/>
    <w:multiLevelType w:val="hybridMultilevel"/>
    <w:tmpl w:val="82707A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6A6C73"/>
    <w:multiLevelType w:val="hybridMultilevel"/>
    <w:tmpl w:val="A6384D6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AF9"/>
    <w:rsid w:val="00071613"/>
    <w:rsid w:val="00093F69"/>
    <w:rsid w:val="000A363E"/>
    <w:rsid w:val="000D0DA3"/>
    <w:rsid w:val="0016025D"/>
    <w:rsid w:val="001E03C8"/>
    <w:rsid w:val="001E6213"/>
    <w:rsid w:val="001F0120"/>
    <w:rsid w:val="00263DF8"/>
    <w:rsid w:val="002863B2"/>
    <w:rsid w:val="002C057C"/>
    <w:rsid w:val="0034078E"/>
    <w:rsid w:val="003519FC"/>
    <w:rsid w:val="00370B95"/>
    <w:rsid w:val="003C04A5"/>
    <w:rsid w:val="003F0C13"/>
    <w:rsid w:val="00402C9B"/>
    <w:rsid w:val="004A37D7"/>
    <w:rsid w:val="004C04B4"/>
    <w:rsid w:val="00504E8D"/>
    <w:rsid w:val="00531867"/>
    <w:rsid w:val="00550CA7"/>
    <w:rsid w:val="00572859"/>
    <w:rsid w:val="00581C57"/>
    <w:rsid w:val="00594888"/>
    <w:rsid w:val="005B1213"/>
    <w:rsid w:val="005E66F6"/>
    <w:rsid w:val="005F0AC5"/>
    <w:rsid w:val="00622C19"/>
    <w:rsid w:val="00645F96"/>
    <w:rsid w:val="00650481"/>
    <w:rsid w:val="006E37C4"/>
    <w:rsid w:val="00746155"/>
    <w:rsid w:val="00747714"/>
    <w:rsid w:val="007639AE"/>
    <w:rsid w:val="0076745E"/>
    <w:rsid w:val="00792D3A"/>
    <w:rsid w:val="007A4AF9"/>
    <w:rsid w:val="007C17DD"/>
    <w:rsid w:val="007F307B"/>
    <w:rsid w:val="00830E9E"/>
    <w:rsid w:val="008537EA"/>
    <w:rsid w:val="00865EF6"/>
    <w:rsid w:val="00893780"/>
    <w:rsid w:val="008D70AE"/>
    <w:rsid w:val="008F1DF7"/>
    <w:rsid w:val="00932F4C"/>
    <w:rsid w:val="0093729E"/>
    <w:rsid w:val="00944EAE"/>
    <w:rsid w:val="00981CA4"/>
    <w:rsid w:val="00992994"/>
    <w:rsid w:val="00A01BCA"/>
    <w:rsid w:val="00A12A8D"/>
    <w:rsid w:val="00A75A96"/>
    <w:rsid w:val="00AE1E84"/>
    <w:rsid w:val="00AF7266"/>
    <w:rsid w:val="00B45F32"/>
    <w:rsid w:val="00B527EB"/>
    <w:rsid w:val="00B528A0"/>
    <w:rsid w:val="00B62DF7"/>
    <w:rsid w:val="00B76F91"/>
    <w:rsid w:val="00B95B5B"/>
    <w:rsid w:val="00C06257"/>
    <w:rsid w:val="00C96B1A"/>
    <w:rsid w:val="00CC6580"/>
    <w:rsid w:val="00CD75DD"/>
    <w:rsid w:val="00DA36CB"/>
    <w:rsid w:val="00DA3D69"/>
    <w:rsid w:val="00DB37B3"/>
    <w:rsid w:val="00DC121C"/>
    <w:rsid w:val="00E4511D"/>
    <w:rsid w:val="00E56322"/>
    <w:rsid w:val="00E60E32"/>
    <w:rsid w:val="00EB13DA"/>
    <w:rsid w:val="00ED0AD5"/>
    <w:rsid w:val="00ED38A4"/>
    <w:rsid w:val="00EE1C94"/>
    <w:rsid w:val="00EE34A3"/>
    <w:rsid w:val="00F10E3C"/>
    <w:rsid w:val="00FC7E41"/>
    <w:rsid w:val="00FE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C95E2"/>
  <w15:chartTrackingRefBased/>
  <w15:docId w15:val="{B177CCDE-0E65-4974-9369-6E2E04EA5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8A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639AE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944E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3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008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72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07101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0271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3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8786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7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86804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8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87139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3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9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459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6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4604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6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082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1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5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3776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09/SSST.2008.4480234" TargetMode="External"/><Relationship Id="rId13" Type="http://schemas.openxmlformats.org/officeDocument/2006/relationships/hyperlink" Target="https://doi.org/10.1109/ACCESS.2021.307736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109/ICCSMT51754.2020.00059" TargetMode="External"/><Relationship Id="rId12" Type="http://schemas.openxmlformats.org/officeDocument/2006/relationships/hyperlink" Target="https://doi.org/10.1109/TSMCB.2012.221438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i.org/10.1016/j.jksues.2021.11.010" TargetMode="External"/><Relationship Id="rId11" Type="http://schemas.openxmlformats.org/officeDocument/2006/relationships/hyperlink" Target="https://doi.org/10.1109/EIRCON51178.2020.9254082" TargetMode="External"/><Relationship Id="rId5" Type="http://schemas.openxmlformats.org/officeDocument/2006/relationships/hyperlink" Target="https://doi.org/10.1109/WEROB.2017.8383836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i.org/10.1109/EMBC.2019.885698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109/IHMSC.2017.198" TargetMode="External"/><Relationship Id="rId14" Type="http://schemas.openxmlformats.org/officeDocument/2006/relationships/hyperlink" Target="https://doi.org/10.1016/j.mechatronics.2016.10.0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3</Pages>
  <Words>1087</Words>
  <Characters>6200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</dc:creator>
  <cp:keywords/>
  <dc:description/>
  <cp:lastModifiedBy>Shivam</cp:lastModifiedBy>
  <cp:revision>70</cp:revision>
  <cp:lastPrinted>2021-10-11T17:19:00Z</cp:lastPrinted>
  <dcterms:created xsi:type="dcterms:W3CDTF">2021-10-11T13:28:00Z</dcterms:created>
  <dcterms:modified xsi:type="dcterms:W3CDTF">2022-02-02T01:52:00Z</dcterms:modified>
</cp:coreProperties>
</file>