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sz w:val="22"/>
          <w:szCs w:val="22"/>
          <w:rtl w:val="0"/>
        </w:rPr>
        <w:t xml:space="preserve">I focused on mapping out my Vensim model and figuring out how all the components would connect. I worked on identifying the key variables involved in dairy farm operations and determining how they would interact within the system dynamics framework. For example, I spent time deciding which factors—such as feed costs, energy use, milk production levels, and herd size—should be represented as stocks, flows, and auxiliary variables in the model. Understanding how these elements drive one another was essential before building out the actual structure in Vensim.In addition, I worked through the feedback loops that would capture how changes in input costs affect farm profitability and, in turn, decisions about herd management and resource use. One key thing I worked out is how the relationship between feed costs and milk revenue could be represented dynamically, since this is the most critical driver of farm sustainability based on my Week 1 research. This mapping process helped me establish a clear conceptual foundation so that I can begin entering the model structure into Vensim in the coming weeks.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XjPJzQN0Lih+d5KOE+B3NlXtQ==">CgMxLjA4AHIhMUEza3VSVFQ3RWNROFg4ZjRmbWNmNWxuN3BZc01ocnpn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2026-03-23T20:44:24.438Z</dcterms:created>
  <dc:creator>Un-named</dc:creator>
</cp:coreProperties>
</file>

<file path=docProps/custom.xml><?xml version="1.0" encoding="utf-8"?>
<Properties xmlns="http://schemas.openxmlformats.org/officeDocument/2006/custom-properties" xmlns:vt="http://schemas.openxmlformats.org/officeDocument/2006/docPropsVTypes"/>
</file>