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Renewable water: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Essentially, all non-drinking water (~32%) is recyclable</w:t>
      </w:r>
    </w:p>
    <w:p w:rsidR="00000000" w:rsidDel="00000000" w:rsidP="00000000" w:rsidRDefault="00000000" w:rsidRPr="00000000" w14:paraId="00000005">
      <w:pPr>
        <w:rPr/>
      </w:pPr>
      <w:r w:rsidDel="00000000" w:rsidR="00000000" w:rsidRPr="00000000">
        <w:rPr>
          <w:rtl w:val="0"/>
        </w:rPr>
        <w:t xml:space="preserve">In the Vensim model, drinking water and wastewater are a one-way flow; it never comes back</w:t>
      </w:r>
    </w:p>
    <w:p w:rsidR="00000000" w:rsidDel="00000000" w:rsidP="00000000" w:rsidRDefault="00000000" w:rsidRPr="00000000" w14:paraId="00000006">
      <w:pPr>
        <w:rPr/>
      </w:pPr>
      <w:r w:rsidDel="00000000" w:rsidR="00000000" w:rsidRPr="00000000">
        <w:rPr>
          <w:rtl w:val="0"/>
        </w:rPr>
        <w:t xml:space="preserve">However, for water that can be reused, we'd add a feedback loop in which a fraction of treated wastewater re-enters Water Storage.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Renewable energy: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Solar panels aren't ideal here; cows are milked at sunrise and sunset, exactly when the sun isn't producing as much sunlight. The milk needs to be immediately cooled (which requires the most energy on the farm). This method requires batteries to store energy for use at night, or to stay grid-connected as a backup. The other option is to use wind energy to fill the gaps.</w:t>
      </w:r>
    </w:p>
    <w:p w:rsidR="00000000" w:rsidDel="00000000" w:rsidP="00000000" w:rsidRDefault="00000000" w:rsidRPr="00000000" w14:paraId="0000000C">
      <w:pPr>
        <w:rPr/>
      </w:pPr>
      <w:r w:rsidDel="00000000" w:rsidR="00000000" w:rsidRPr="00000000">
        <w:rPr>
          <w:rtl w:val="0"/>
        </w:rPr>
        <w:t xml:space="preserve">In the Vensim model, we need to add a second flow: solar/wind energy.</w:t>
      </w:r>
    </w:p>
    <w:p w:rsidR="00000000" w:rsidDel="00000000" w:rsidP="00000000" w:rsidRDefault="00000000" w:rsidRPr="00000000" w14:paraId="0000000D">
      <w:pPr>
        <w:rPr/>
      </w:pPr>
      <w:r w:rsidDel="00000000" w:rsidR="00000000" w:rsidRPr="00000000">
        <w:rPr>
          <w:rtl w:val="0"/>
        </w:rPr>
        <w:t xml:space="preserve">We should also add grid energy as an inflow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Food: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Feed-to-energy conversion is the critical relationship here. We want to ensure that there is enough food for maintenance while maximizing milk production.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