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t xml:space="preserve">Introduction- </w:t>
      </w:r>
      <w:r w:rsidDel="00000000" w:rsidR="00000000" w:rsidRPr="00000000">
        <w:rPr>
          <w:sz w:val="24"/>
          <w:szCs w:val="24"/>
          <w:rtl w:val="0"/>
        </w:rPr>
        <w:t xml:space="preserve">The U.S. dairy industry has lost over 55% of its operations since 2003, with small and mid-size farms hit hardest. Rising feed, energy, and water costs continue to squeeze margins and push producers out of business. These inputs are deeply interconnected: irrigation consumes energy, feed quality shapes the water footprint per unit of milk, and energy generation often depends on water availability. The WEF nexus framework captures these interdependencies, yet farm-level economic analysis has largely ignored them.</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(Talk about economics of dairy and how ppl are leaving the business because of high production costs) Dynamic Hypothesis should be here (Should list out the problem we’re trying to solve)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DH - </w:t>
      </w:r>
      <w:r w:rsidDel="00000000" w:rsidR="00000000" w:rsidRPr="00000000">
        <w:rPr>
          <w:sz w:val="24"/>
          <w:szCs w:val="24"/>
          <w:rtl w:val="0"/>
        </w:rPr>
        <w:t xml:space="preserve">Adoption of integrated WEF‑based resource strategies in Texas dairy production, such as improving water‑use efficiency, investing in more energy‑efficient milking and cooling systems, and aligning family and hired labor use with herd size, will strengthen positive economic feedbacks between lower input costs per hundredweight, stronger cash flow, and the capacity to reinvest in further cost‑saving technologies and management practices, leading to improved profitability and greater long‑run financial resilience of small and mid‑size dairy farms.</w:t>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Materials and Methods - Enterprise and partial budgeting frameworks were applied to Texas dairy operations across 200, 500, and 1,200 cow herd sizes. A Vensim system dynamics model was built to capture feedback loops among WEF resource use, input costs, cash flow, and reinvestment capacity. Parameters were drawn from AgriLife Extension enterprise budgets, USDA price data, EIA energy prices, and TWDB water data. Four scenarios were simulated over a 15-year horizon, ranging from baseline to fully integrated WEF and labor optimization.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Results (Vensim model)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Discussion (Explanation of the results with previous literature)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References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