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modeling for sustainable dairy farms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w:t>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Aparna Pushkaran Ajitha</w:t>
      </w:r>
    </w:p>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A&amp;M University</w:t>
      </w:r>
    </w:p>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Animal Science</w:t>
      </w:r>
    </w:p>
    <w:p w:rsidR="00000000" w:rsidDel="00000000" w:rsidP="00000000" w:rsidRDefault="00000000" w:rsidRPr="00000000" w14:paraId="00000007">
      <w:pPr>
        <w:spacing w:after="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467886"/>
            <w:u w:val="single"/>
            <w:rtl w:val="0"/>
          </w:rPr>
          <w:t xml:space="preserve">aparnapushkaran@tamu.edu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Type:</w:t>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Can Join: Undergraduate, Master’s, and Graduate Students (Stream: backgrounds in mathematics, modeling python, animal science, veterinary science, system dynamics, agricultural systems, sustainability science, or environmental modeling)</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project focuses on developing a comprehensive system dynamics model to quantitatively assess and improve resource efficiency in dairy farming. The primary objective is to analyze critical resource flows—including water, energy, and feed—by capturing the complex interactions among environmental, operational, and economic components within dairy systems. Team members will actively participate in model development, validation, and simulation using platforms such as Vensim or Stella, and will help translate model insights into actionable strategies for enhancing farm sustainability.</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Needs: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welcome students with interests or backgrounds in mathematics, modeling python, animal science, veterinary science, system dynamics, agricultural systems, sustainability science, or environmental modeling. Preferred qualifications include experience with simulation tools (e.g., Vensim, Stella, AnyLogic) and strong quantitative or analytical skills. Weekly team meetings are either held in-person or virtually planned.</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Opportunities: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will gain practical experience in dynamic systems modeling, data integration, and scenario-based analysis. Outstanding contributions may lead to opportunities for presenting at Student Research Week or co-authoring academic publications. This project offers valuable exposure to interdisciplinary approaches at the intersection of agriculture, systems engineering, and sustainability policy—ideal for students exploring careers in integrated environmental and agricultural sciences.</w:t>
      </w:r>
    </w:p>
    <w:p w:rsidR="00000000" w:rsidDel="00000000" w:rsidP="00000000" w:rsidRDefault="00000000" w:rsidRPr="00000000" w14:paraId="00000016">
      <w:pPr>
        <w:jc w:val="center"/>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Curriculum for one semester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1: Foundations &amp; Context (Weeks 1–5)</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Build a common understanding of dairy systems, sustainability, and modeling fundamentals.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and week 2</w:t>
            </w:r>
          </w:p>
        </w:tc>
        <w:tc>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the project scope, goals, and expectations.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 of sustainable dairy farming: water, energy, feed, and environmental challenges.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readings on dairy farm operations and sustainability metrics.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Team-building activity: background presentations from each student</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and week 4</w:t>
            </w:r>
          </w:p>
        </w:tc>
        <w:tc>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Principles of system dynamics (stocks, flows, feedback loops).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modeling tools (Vensim).</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Creating a simple population growth model in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chosen platform</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w:t>
            </w:r>
          </w:p>
        </w:tc>
        <w:tc>
          <w:tcPr/>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the dairy farm system: key variables and causal loop diagrams.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Assignment: Create a preliminary causal loop diagram (CLD) of resource flows</w:t>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2: Data &amp; Model Building (Weeks 6–10)</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Learn to gather, process, and integrate real-world data into the model.</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w:t>
            </w:r>
          </w:p>
        </w:tc>
        <w:tc>
          <w:tcPr/>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sources for dairy systems (USDA, FAO, scientific literature).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Assignment: Read more about dairy systems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 &amp; 8</w:t>
            </w:r>
          </w:p>
        </w:tc>
        <w:tc>
          <w:tcPr/>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Translating CLDs into stock-and-flow diagrams.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Build your first stock-and-flow model from your CLD</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 &amp; 10</w:t>
            </w:r>
          </w:p>
        </w:tc>
        <w:tc>
          <w:tcPr/>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Quantifying relationships: equations, parameters, and calibration.</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Parameter estimation using literature and farm data</w:t>
            </w:r>
          </w:p>
        </w:tc>
      </w:tr>
    </w:tbl>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Module 3: Scenario Analysis &amp; Policy Testing (Weeks 11–15)</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Use the model to explore “what-if” scenarios and sustainability strategies.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 &amp;12</w:t>
            </w:r>
          </w:p>
        </w:tc>
        <w:tc>
          <w:tcPr/>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simulation experiments: baseline vs intervention scenarios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Hands-on: Implement at least one policy intervention in the model</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13&amp;14</w:t>
            </w:r>
          </w:p>
        </w:tc>
        <w:tc>
          <w:tcPr/>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visualization techniques for communicating results</w:t>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15</w:t>
            </w:r>
          </w:p>
        </w:tc>
        <w:tc>
          <w:tcPr/>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Present preliminary results to faculties for feedback</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4: Communication &amp; Knowledge Transfer (Weeks 16–19)</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Finalize results, prepare deliverables, and share outcomes.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16 &amp;17</w:t>
            </w:r>
          </w:p>
        </w:tc>
        <w:tc>
          <w:tcPr/>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Translating model insights into actionable recommendations for dairy farms.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concise policy briefs and technical summaries</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18</w:t>
            </w:r>
          </w:p>
        </w:tc>
        <w:tc>
          <w:tcPr/>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model documentation: assumptions, structure, equations, and validation.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Presentations</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19</w:t>
            </w:r>
          </w:p>
        </w:tc>
        <w:tc>
          <w:tcPr/>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project presentations and demo of the model.</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future research directions and potential publication opportunities</w:t>
            </w:r>
          </w:p>
        </w:tc>
      </w:tr>
    </w:tbl>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314325" cy="314325"/>
                <wp:effectExtent b="0" l="0" r="0" t="0"/>
                <wp:docPr descr="Output image" id="76643986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Output image" id="766439865" name="image2.png"/>
                <a:graphic>
                  <a:graphicData uri="http://schemas.openxmlformats.org/drawingml/2006/picture">
                    <pic:pic>
                      <pic:nvPicPr>
                        <pic:cNvPr descr="Output image" id="0" name="image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rPr>
        <w:drawing>
          <wp:inline distB="0" distT="0" distL="0" distR="0">
            <wp:extent cx="5257648" cy="2372664"/>
            <wp:effectExtent b="0" l="0" r="0" t="0"/>
            <wp:docPr id="7664398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57648" cy="237266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557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557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557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557A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557A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557A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557A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557A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557A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557A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557A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557A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557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557A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557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557A7"/>
    <w:rPr>
      <w:i w:val="1"/>
      <w:iCs w:val="1"/>
      <w:color w:val="404040" w:themeColor="text1" w:themeTint="0000BF"/>
    </w:rPr>
  </w:style>
  <w:style w:type="paragraph" w:styleId="ListParagraph">
    <w:name w:val="List Paragraph"/>
    <w:basedOn w:val="Normal"/>
    <w:uiPriority w:val="34"/>
    <w:qFormat w:val="1"/>
    <w:rsid w:val="00E557A7"/>
    <w:pPr>
      <w:ind w:left="720"/>
      <w:contextualSpacing w:val="1"/>
    </w:pPr>
  </w:style>
  <w:style w:type="character" w:styleId="IntenseEmphasis">
    <w:name w:val="Intense Emphasis"/>
    <w:basedOn w:val="DefaultParagraphFont"/>
    <w:uiPriority w:val="21"/>
    <w:qFormat w:val="1"/>
    <w:rsid w:val="00E557A7"/>
    <w:rPr>
      <w:i w:val="1"/>
      <w:iCs w:val="1"/>
      <w:color w:val="0f4761" w:themeColor="accent1" w:themeShade="0000BF"/>
    </w:rPr>
  </w:style>
  <w:style w:type="paragraph" w:styleId="IntenseQuote">
    <w:name w:val="Intense Quote"/>
    <w:basedOn w:val="Normal"/>
    <w:next w:val="Normal"/>
    <w:link w:val="IntenseQuoteChar"/>
    <w:uiPriority w:val="30"/>
    <w:qFormat w:val="1"/>
    <w:rsid w:val="00E557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557A7"/>
    <w:rPr>
      <w:i w:val="1"/>
      <w:iCs w:val="1"/>
      <w:color w:val="0f4761" w:themeColor="accent1" w:themeShade="0000BF"/>
    </w:rPr>
  </w:style>
  <w:style w:type="character" w:styleId="IntenseReference">
    <w:name w:val="Intense Reference"/>
    <w:basedOn w:val="DefaultParagraphFont"/>
    <w:uiPriority w:val="32"/>
    <w:qFormat w:val="1"/>
    <w:rsid w:val="00E557A7"/>
    <w:rPr>
      <w:b w:val="1"/>
      <w:bCs w:val="1"/>
      <w:smallCaps w:val="1"/>
      <w:color w:val="0f4761" w:themeColor="accent1" w:themeShade="0000BF"/>
      <w:spacing w:val="5"/>
    </w:rPr>
  </w:style>
  <w:style w:type="character" w:styleId="Hyperlink">
    <w:name w:val="Hyperlink"/>
    <w:basedOn w:val="DefaultParagraphFont"/>
    <w:uiPriority w:val="99"/>
    <w:unhideWhenUsed w:val="1"/>
    <w:rsid w:val="00E557A7"/>
    <w:rPr>
      <w:color w:val="467886" w:themeColor="hyperlink"/>
      <w:u w:val="single"/>
    </w:rPr>
  </w:style>
  <w:style w:type="character" w:styleId="UnresolvedMention">
    <w:name w:val="Unresolved Mention"/>
    <w:basedOn w:val="DefaultParagraphFont"/>
    <w:uiPriority w:val="99"/>
    <w:semiHidden w:val="1"/>
    <w:unhideWhenUsed w:val="1"/>
    <w:rsid w:val="00E557A7"/>
    <w:rPr>
      <w:color w:val="605e5c"/>
      <w:shd w:color="auto" w:fill="e1dfdd" w:val="clear"/>
    </w:rPr>
  </w:style>
  <w:style w:type="table" w:styleId="TableGrid">
    <w:name w:val="Table Grid"/>
    <w:basedOn w:val="TableNormal"/>
    <w:uiPriority w:val="39"/>
    <w:rsid w:val="0073668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728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2847"/>
  </w:style>
  <w:style w:type="paragraph" w:styleId="Footer">
    <w:name w:val="footer"/>
    <w:basedOn w:val="Normal"/>
    <w:link w:val="FooterChar"/>
    <w:uiPriority w:val="99"/>
    <w:unhideWhenUsed w:val="1"/>
    <w:rsid w:val="00E728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2847"/>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parnapushkaran@tamu.edu"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IdKqHaN2Aby+l+qb8W1q6aRrQ==">CgMxLjA4AHIhMS1aa1gzLXUzb3hMbjIxY1ZGQjY2SWNRbmFIU2pJS2Z2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2025-08-05T18:33:00Z</dcterms:created>
  <dc:creator>Aparna Pushkaran Ajitha</dc:creator>
</cp:coreProperties>
</file>