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left"/>
        <w:rPr>
          <w:rFonts w:ascii="Times New Roman" w:cs="Times New Roman" w:eastAsia="Times New Roman" w:hAnsi="Times New Roman"/>
          <w:sz w:val="24"/>
          <w:szCs w:val="24"/>
        </w:rPr>
      </w:pPr>
      <w:bookmarkStart w:colFirst="0" w:colLast="0" w:name="_fqtlizooqlkg" w:id="0"/>
      <w:bookmarkEnd w:id="0"/>
      <w:r w:rsidDel="00000000" w:rsidR="00000000" w:rsidRPr="00000000">
        <w:rPr>
          <w:rtl w:val="0"/>
        </w:rPr>
      </w:r>
    </w:p>
    <w:p w:rsidR="00000000" w:rsidDel="00000000" w:rsidP="00000000" w:rsidRDefault="00000000" w:rsidRPr="00000000" w14:paraId="00000002">
      <w:pPr>
        <w:pStyle w:val="Title"/>
        <w:jc w:val="center"/>
        <w:rPr>
          <w:rFonts w:ascii="Times New Roman" w:cs="Times New Roman" w:eastAsia="Times New Roman" w:hAnsi="Times New Roman"/>
          <w:sz w:val="24"/>
          <w:szCs w:val="24"/>
        </w:rPr>
      </w:pPr>
      <w:bookmarkStart w:colFirst="0" w:colLast="0" w:name="_128kbq1h4pj4" w:id="1"/>
      <w:bookmarkEnd w:id="1"/>
      <w:r w:rsidDel="00000000" w:rsidR="00000000" w:rsidRPr="00000000">
        <w:rPr>
          <w:rtl w:val="0"/>
        </w:rPr>
      </w:r>
    </w:p>
    <w:p w:rsidR="00000000" w:rsidDel="00000000" w:rsidP="00000000" w:rsidRDefault="00000000" w:rsidRPr="00000000" w14:paraId="00000003">
      <w:pPr>
        <w:pStyle w:val="Title"/>
        <w:jc w:val="center"/>
        <w:rPr>
          <w:rFonts w:ascii="Times New Roman" w:cs="Times New Roman" w:eastAsia="Times New Roman" w:hAnsi="Times New Roman"/>
          <w:sz w:val="24"/>
          <w:szCs w:val="24"/>
        </w:rPr>
      </w:pPr>
      <w:bookmarkStart w:colFirst="0" w:colLast="0" w:name="_g0dyr8r7yb6y" w:id="2"/>
      <w:bookmarkEnd w:id="2"/>
      <w:r w:rsidDel="00000000" w:rsidR="00000000" w:rsidRPr="00000000">
        <w:rPr>
          <w:rFonts w:ascii="Times New Roman" w:cs="Times New Roman" w:eastAsia="Times New Roman" w:hAnsi="Times New Roman"/>
          <w:sz w:val="24"/>
          <w:szCs w:val="24"/>
          <w:rtl w:val="0"/>
        </w:rPr>
        <w:t xml:space="preserve">Understanding Dairy System Resilience Through Causal Loop </w:t>
      </w:r>
      <w:r w:rsidDel="00000000" w:rsidR="00000000" w:rsidRPr="00000000">
        <w:rPr>
          <w:sz w:val="24"/>
          <w:szCs w:val="24"/>
          <w:rtl w:val="0"/>
        </w:rPr>
        <w:t xml:space="preserve">Modelling</w:t>
      </w:r>
      <w:r w:rsidDel="00000000" w:rsidR="00000000" w:rsidRPr="00000000">
        <w:rPr>
          <w:rFonts w:ascii="Times New Roman" w:cs="Times New Roman" w:eastAsia="Times New Roman" w:hAnsi="Times New Roman"/>
          <w:sz w:val="24"/>
          <w:szCs w:val="24"/>
          <w:rtl w:val="0"/>
        </w:rPr>
        <w:t xml:space="preserve"> of the Water–Energy–Food Nexus</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pStyle w:val="Heading1"/>
        <w:jc w:val="center"/>
        <w:rPr/>
      </w:pPr>
      <w:bookmarkStart w:colFirst="0" w:colLast="0" w:name="_7uvlxrabevyf" w:id="3"/>
      <w:bookmarkEnd w:id="3"/>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6">
      <w:pPr>
        <w:pStyle w:val="Heading1"/>
        <w:rPr/>
      </w:pPr>
      <w:bookmarkStart w:colFirst="0" w:colLast="0" w:name="_w4jmdiobuknq" w:id="4"/>
      <w:bookmarkEnd w:id="4"/>
      <w:r w:rsidDel="00000000" w:rsidR="00000000" w:rsidRPr="00000000">
        <w:rPr>
          <w:rtl w:val="0"/>
        </w:rPr>
        <w:t xml:space="preserve">Introduction</w:t>
      </w:r>
    </w:p>
    <w:p w:rsidR="00000000" w:rsidDel="00000000" w:rsidP="00000000" w:rsidRDefault="00000000" w:rsidRPr="00000000" w14:paraId="00000007">
      <w:pPr>
        <w:rPr/>
      </w:pPr>
      <w:r w:rsidDel="00000000" w:rsidR="00000000" w:rsidRPr="00000000">
        <w:rPr>
          <w:rtl w:val="0"/>
        </w:rPr>
        <w:tab/>
        <w:t xml:space="preserve">Dairy farms in America are shown to have significant nitrogen and phosphorus runoffs, with up to 72% of all nitrogen and 57% of all phosphorus being unaccounted for in a case study of a Pennsylvania farm’s runoffs (Hutson et al., 1998). These runoffs had a direct adverse impact on the ecosystem around the dairy farm, resulting in elevated pollutant concentrations in nearby streams and fields. These elevated pollutant concentrations directly affect cattle’s performance in a dairy farm: cows that drink polluted water have reduced milk production and worsened reproductive health (Giri et al., 2020).</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ab/>
        <w:t xml:space="preserve">Dairy farms are also significant water consumers, with investigations in India (Kumar &amp; Singh, 2008, pp. 85–98), one of the world’s largest dairy producers, concluding that the sheer water consumption of commercial dairy farms for milk processing and cow upkeep takes a significant share of local groundwater resources. Beyond the evident risk this extreme water consumption poses to surrounding communities, water scarcity has a direct negative impact on a dairy farm’s production as well; dairy cows face up to a 62% reduction in milk production when water-deprived for more than 24 hours (Little et al., 1984).</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ab/>
        <w:t xml:space="preserve">Along with water, energy is another important resource for milk production in dairy farms. Historically, dairy farm energy infrastructure has relied on nonrenewable sources. Rising fossil fuel costs are causing these farms to seek alternative sources of energy, which may be slow to adopt (von Keyserlingk et al., 2013). According to von Keyserlingk and other North American agricultural and dairy authorities (2013), the increasing costs of current dairy farm energy sources during this interim period would be offset to customers in the form of higher milk prices. Consequently, these higher milk prices could lead to reduced demand and subsequently reduced revenue for dairy farms. Thus, energy inefficiencies can harm dairy farm profits from both manufacturing and sales avenues.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ab/>
        <w:t xml:space="preserve">Fortunately, a framework exists—and has been applied to dairy farms—to address these sustainability issues. The Water-Energy-Food nexus enables the modelling of complex, resource-intensive systems with simplicity. While the WEF nexus is a broad framework, it has been previously implemented in the context of dairy farms (Entrena-Barbero et al., 2023). However, this implementation was limited to a set of dairy farms in Spain, with regional geographic factors affecting the water-energy-food analysis of those farms. No similar study has been conducted for American dairy farms, particularly given the country’s diverse geography. Our research aims to develop a representational framework for the sustainability of American dairy farms, using the Water-Energy-Food nexus as a basis.</w:t>
      </w:r>
      <w:r w:rsidDel="00000000" w:rsidR="00000000" w:rsidRPr="00000000">
        <w:rPr>
          <w:rtl w:val="0"/>
        </w:rPr>
      </w:r>
    </w:p>
    <w:p w:rsidR="00000000" w:rsidDel="00000000" w:rsidP="00000000" w:rsidRDefault="00000000" w:rsidRPr="00000000" w14:paraId="0000000E">
      <w:pPr>
        <w:pStyle w:val="Heading1"/>
        <w:rPr/>
      </w:pPr>
      <w:bookmarkStart w:colFirst="0" w:colLast="0" w:name="_l4tds0cyl4gb" w:id="5"/>
      <w:bookmarkEnd w:id="5"/>
      <w:r w:rsidDel="00000000" w:rsidR="00000000" w:rsidRPr="00000000">
        <w:rPr>
          <w:rtl w:val="0"/>
        </w:rPr>
        <w:t xml:space="preserve">Methods</w:t>
      </w:r>
      <w:r w:rsidDel="00000000" w:rsidR="00000000" w:rsidRPr="00000000">
        <w:rPr>
          <w:rtl w:val="0"/>
        </w:rPr>
        <w:t xml:space="preserve"> and Materials</w:t>
      </w:r>
    </w:p>
    <w:p w:rsidR="00000000" w:rsidDel="00000000" w:rsidP="00000000" w:rsidRDefault="00000000" w:rsidRPr="00000000" w14:paraId="0000000F">
      <w:pPr>
        <w:ind w:firstLine="720"/>
        <w:rPr/>
      </w:pPr>
      <w:r w:rsidDel="00000000" w:rsidR="00000000" w:rsidRPr="00000000">
        <w:rPr>
          <w:rtl w:val="0"/>
        </w:rPr>
        <w:t xml:space="preserve">To represent the vast, interconnected complexities of a dairy farm, we elected to use a Causal Loop Diagram (CLD). CLDs are effective at presenting feedback loops, where sets of interconnected variables have “reinforcing” or “balancing” effects on one another, and time delays, where one variable influences another after a considerable amount of time has </w:t>
      </w:r>
      <w:commentRangeStart w:id="0"/>
      <w:r w:rsidDel="00000000" w:rsidR="00000000" w:rsidRPr="00000000">
        <w:rPr>
          <w:rtl w:val="0"/>
        </w:rPr>
        <w:t xml:space="preserve">passed</w:t>
      </w:r>
      <w:commentRangeEnd w:id="0"/>
      <w:r w:rsidDel="00000000" w:rsidR="00000000" w:rsidRPr="00000000">
        <w:commentReference w:id="0"/>
      </w:r>
      <w:r w:rsidDel="00000000" w:rsidR="00000000" w:rsidRPr="00000000">
        <w:rPr>
          <w:rtl w:val="0"/>
        </w:rPr>
        <w:t xml:space="preserve">. We utilized the Vensim simulation platform to construct our Causal Loop Diagram due to its ease of use when creating CLDs and its accessibility to students and educational institutions in its Personal Learning Edition.</w:t>
      </w:r>
    </w:p>
    <w:p w:rsidR="00000000" w:rsidDel="00000000" w:rsidP="00000000" w:rsidRDefault="00000000" w:rsidRPr="00000000" w14:paraId="00000010">
      <w:pPr>
        <w:ind w:firstLine="720"/>
        <w:rPr/>
      </w:pP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tl w:val="0"/>
        </w:rPr>
        <w:t xml:space="preserve">Utilizing the WEF Nexus as a basis for creating a Causal Loop Diagram greatly simplifies its layout by providing a structured guide for organizing our CLD. The WEF Nexus is measured using the WEF Nexus Index, also written as the WEFn</w:t>
      </w:r>
      <w:r w:rsidDel="00000000" w:rsidR="00000000" w:rsidRPr="00000000">
        <w:rPr>
          <w:vertAlign w:val="subscript"/>
          <w:rtl w:val="0"/>
        </w:rPr>
        <w:t xml:space="preserve">i</w:t>
      </w:r>
      <w:r w:rsidDel="00000000" w:rsidR="00000000" w:rsidRPr="00000000">
        <w:rPr>
          <w:rtl w:val="0"/>
        </w:rPr>
        <w:t xml:space="preserve">, a weighted sum of a dairy farm’s carbon, water, and energy footprints and its milk yield over a given period of time (Entrena-Barbero et al., 2023). Consequently, based on this formula, the Causal Loop Diagram meant to describe dairy farms present in America should focus on the factors of the farm that contribute to its carbon, water, and energy footprints, and its milk yield. Entrena-Barbero et al. also describe in more detail what constitutes each of the different WEFn</w:t>
      </w:r>
      <w:r w:rsidDel="00000000" w:rsidR="00000000" w:rsidRPr="00000000">
        <w:rPr>
          <w:vertAlign w:val="subscript"/>
          <w:rtl w:val="0"/>
        </w:rPr>
        <w:t xml:space="preserve">i</w:t>
      </w:r>
      <w:r w:rsidDel="00000000" w:rsidR="00000000" w:rsidRPr="00000000">
        <w:rPr>
          <w:rtl w:val="0"/>
        </w:rPr>
        <w:t xml:space="preserve"> factors. These descriptions further structure our Causal Loop Diagram by identifying which components of a dairy farm should be included.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ind w:firstLine="720"/>
        <w:rPr/>
      </w:pPr>
      <w:r w:rsidDel="00000000" w:rsidR="00000000" w:rsidRPr="00000000">
        <w:rPr>
          <w:rtl w:val="0"/>
        </w:rPr>
        <w:t xml:space="preserve">The carbon footprint of a dairy farm is measured as the sum of the masses of the different greenhouse gases the dairy farm produces, multiplied by each respective gas’s Global Warming Potential. The Global Warming Potential (GWP) of a gas standardizes emissions comparisons across gases (Danny Harvey, 1993), which reduces the need to include “helper variables” in our Causal Loop Diagram to facilitate its translation into a Stock-and-Flow diagram. At the same time, this means that the carbon footprint component of the WEFn</w:t>
      </w:r>
      <w:r w:rsidDel="00000000" w:rsidR="00000000" w:rsidRPr="00000000">
        <w:rPr>
          <w:vertAlign w:val="subscript"/>
          <w:rtl w:val="0"/>
        </w:rPr>
        <w:t xml:space="preserve">i</w:t>
      </w:r>
      <w:r w:rsidDel="00000000" w:rsidR="00000000" w:rsidRPr="00000000">
        <w:rPr>
          <w:rtl w:val="0"/>
        </w:rPr>
        <w:t xml:space="preserve"> is a misnomer; various pollutants emitted or produced as runoff by an average dairy farm in America, including but not limited to carbon dioxide, need to be considered when constructing a representative CLD for the farm. Our Causal Loop Diagram includes a detailed section that shows the relationships between dairy farm components and various gas emissions and pollutant runoffs, providing an accurate picture of the dairy farm’s carbon footprint.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firstLine="720"/>
        <w:rPr/>
      </w:pPr>
      <w:r w:rsidDel="00000000" w:rsidR="00000000" w:rsidRPr="00000000">
        <w:rPr>
          <w:rtl w:val="0"/>
        </w:rPr>
        <w:t xml:space="preserve">The water footprint of a dairy farm is measured as the sum of the water consumption of different regions in a dairy farm multiplied by the Available Water Remaining (AWARE) factor of that region. Much like the Global Warming Potential of a gas, the AWARE factor standardizes water consumption comparisons across different geographic areas (Boulay et al., 2017), reducing the need for excessive helper variables in our Causal Loop Diagram. While it's difficult to include the specific geographical regions a dairy farm encompasses in a general-purpose Causal Loop Diagram, we chose to specify the common water-consuming components of American dairy farms and introduce an AWARE factor helper variable that creates a balance between the generalizability of our Causal Loop Diagram and its adaptability to the many dairy farms present across America.</w:t>
      </w:r>
    </w:p>
    <w:p w:rsidR="00000000" w:rsidDel="00000000" w:rsidP="00000000" w:rsidRDefault="00000000" w:rsidRPr="00000000" w14:paraId="00000016">
      <w:pPr>
        <w:ind w:firstLine="72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ab/>
        <w:t xml:space="preserve">The energy footprint of a dairy farm is measured as the sum of the megajoules of energy used by different components of the dairy farm multiplied by the component’s Cumulative Energy Demand Factor (CED). The CED of a dairy farm component also serves as a standardization tool, but does so differently compared to a gas’s GWP or a region’s AWARE factor. CED emphasizes energy performance over energy consumption (Schuetze et al., 2015), ensuring that energy-efficient but frequently used components in a dairy farm are not unfairly penalized compared to energy-inefficient but infrequently used components. Unlike the carbon and water footprints of a dairy farm, this calculation can easily be translated into a CLD; we only had to include the main power-consuming components of a dairy farm without the aid of helper variables or intermediate CLD variables to show what contributes to the farm’s energy footprint.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ind w:firstLine="720"/>
        <w:rPr/>
      </w:pPr>
      <w:r w:rsidDel="00000000" w:rsidR="00000000" w:rsidRPr="00000000">
        <w:rPr>
          <w:rtl w:val="0"/>
        </w:rPr>
        <w:t xml:space="preserve">Finally, the milk yield of a dairy farm measures a dairy farm’s production efficiency in cubic meters of milk produced per cow. Because of this simple formula, not much needs to be included in our CLD, aside from the number of cows present on the farm, the average milk yield per cow, and any environmental factors that may positively or negatively affect milk yield.</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Style w:val="Heading1"/>
        <w:rPr/>
      </w:pPr>
      <w:bookmarkStart w:colFirst="0" w:colLast="0" w:name="_er5v0fa9cwi7" w:id="6"/>
      <w:bookmarkEnd w:id="6"/>
      <w:r w:rsidDel="00000000" w:rsidR="00000000" w:rsidRPr="00000000">
        <w:rPr>
          <w:rtl w:val="0"/>
        </w:rPr>
        <w:t xml:space="preserve">Results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r>
    </w:p>
    <w:p w:rsidR="00000000" w:rsidDel="00000000" w:rsidP="00000000" w:rsidRDefault="00000000" w:rsidRPr="00000000" w14:paraId="0000001E">
      <w:pPr>
        <w:pStyle w:val="Heading1"/>
        <w:rPr/>
      </w:pPr>
      <w:bookmarkStart w:colFirst="0" w:colLast="0" w:name="_urc2s3kxt8bk" w:id="7"/>
      <w:bookmarkEnd w:id="7"/>
      <w:r w:rsidDel="00000000" w:rsidR="00000000" w:rsidRPr="00000000">
        <w:rPr>
          <w:rtl w:val="0"/>
        </w:rPr>
        <w:t xml:space="preserve">Discussion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uwvd15nssn6l" w:id="8"/>
      <w:bookmarkEnd w:id="8"/>
      <w:r w:rsidDel="00000000" w:rsidR="00000000" w:rsidRPr="00000000">
        <w:rPr>
          <w:rtl w:val="0"/>
        </w:rPr>
        <w:t xml:space="preserve">References</w:t>
      </w:r>
    </w:p>
    <w:p w:rsidR="00000000" w:rsidDel="00000000" w:rsidP="00000000" w:rsidRDefault="00000000" w:rsidRPr="00000000" w14:paraId="00000021">
      <w:pPr>
        <w:pStyle w:val="Heading1"/>
        <w:rPr/>
      </w:pPr>
      <w:bookmarkStart w:colFirst="0" w:colLast="0" w:name="_g8kse279aftm" w:id="9"/>
      <w:bookmarkEnd w:id="9"/>
      <w:r w:rsidDel="00000000" w:rsidR="00000000" w:rsidRPr="00000000">
        <w:rPr>
          <w:rtl w:val="0"/>
        </w:rPr>
        <w:t xml:space="preserve">Tables and Figures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edar Panchal" w:id="0" w:date="2025-11-21T22:56:01Z">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discussion section, discuss how the CLD can be used to make an SFD that has historically been used for transfer learning purposes in a machine learning dataset: (Zabbarov et al., 2024)</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sz w:val="24"/>
      <w:szCs w:val="24"/>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jc w:val="center"/>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