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Integrating the Water–Energy–Food Nexus for Sustainable Dairy Systems: A Review</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growing global population drives an increasing demand for food and water. Among essential food sources, animal products such as milk, butter, and cheese play a vital role in human nutrition. However, the production of these foods requires significant inputs of water, energy, and feed resources. The dairy sector, while crucial to global food security, faces mounting challenges from resource scarcity, environmental degradation, and climate change.</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review examines the interconnections among water, energy, and food (WEF) systems in dairy production and assesses how adopting a nexus-based approach can promote sustainability in this context. It synthesizes current research on resource use efficiency, system dynamics modeling, circular resource management, and policy frameworks that support sustainable dairy practices. Furthermore, it highlights technological innovations, including precision feeding, renewable energy integration, and water recycling, and discusses key barriers to their adoption. Ultimately, the review identifies existing research gaps and proposes strategies to optimize the WEF nexus in dairy systems, aiming to develop resilient and climate-resilient production systems for the future.</w:t>
      </w:r>
    </w:p>
    <w:p w:rsidR="00000000" w:rsidDel="00000000" w:rsidP="00000000" w:rsidRDefault="00000000" w:rsidRPr="00000000" w14:paraId="000000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global population grows, demand for dairy and other animal products rises, creating a conflict among human consumption, animal welfare, and environmental sustainability. Beneath this challenge lies the interdependence of three critical pillars of resource management: water, energy, and food (WEF). Energy is required to collect, pump, and treat water, while water itself is essential for producing electricity, refining fuels, and sustaining waste treatment systems. As a collective, they enable agriculture, which in turn maintains the global food supply (Liu et al., 2018; Shang et al., 2018).</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as societies expand and economies develop, the strain on these interconnected systems intensifies. </w:t>
      </w:r>
      <w:r w:rsidDel="00000000" w:rsidR="00000000" w:rsidRPr="00000000">
        <w:rPr>
          <w:rFonts w:ascii="Times New Roman" w:cs="Times New Roman" w:eastAsia="Times New Roman" w:hAnsi="Times New Roman"/>
          <w:rtl w:val="0"/>
        </w:rPr>
        <w:t xml:space="preserve">By 2030, global demand for food, energy, and water is projected to increase by 50%, 40%, and 30%, respectively, presenting a formidable challenge (Yang et al., 2016; Zhang &amp; Vesselinov, 2016; White et al., 2018).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Any change in the availability of water, energy, or land directly affects food production, with the most severe consequences in developing regions that are already struggling with resource scarcity (Karabulut et al., 2018).</w:t>
      </w:r>
      <w:r w:rsidDel="00000000" w:rsidR="00000000" w:rsidRPr="00000000">
        <w:rPr>
          <w:rFonts w:ascii="Times New Roman" w:cs="Times New Roman" w:eastAsia="Times New Roman" w:hAnsi="Times New Roman"/>
          <w:rtl w:val="0"/>
        </w:rPr>
        <w:t xml:space="preserve"> Managing these finite resources sustainably and synergistically has therefore become one of the most urgent sustainability challenges of our time.</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this complexity, researchers have increasingly turned to computational modeling to capture the dynamic interactions within the WEF nexus. Such models quantify interdependencies, assess trade-offs, and inform sustainable decision-making . For instance, Zhang and Vesselinov (2017) developed the WEFO integrated model to examine trade-offs in WEF resource management, while Bieber et al. (2018) employed mixed-integer linear optimization to improve water allocation and guide infrastructure investments in water, wastewater, and power sectors.</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Agriculture lies at the center of the WEF nexus, as it is the largest consumer of freshwater and a major user of both energy and land. Water and energy are essential for irrigation, food processing, fertilizer application, tillage, and harvesting (Daccache et al., 2014; Singh et al., 2014; Yang et al., 2016; Tian et al., 2018). At the same time, food production contributes to the production of biofuel feedstock, further linking these systems. Optimizing the use of limited freshwater, energy, and land resources in agriculture is therefore crucial, particularly in developing regions where livelihoods heavily depend on farming.</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agricultural WEF nexus management is inherently complex due to competing resource demands, socio-economic disparities, and environmental constraints. Relationships among WEF components are non-linear; for instance, the connection between crop yield and water is typically parabolic, making optimization challenging. Decision-makers also face uncertainties from natural variability and socio-economic fluctuations, which necessitate the use of stochastic, fuzzy, or interval-based programming methods to enhance model robustness (Li et al., 2016; Chen et al., 2017; Tan &amp; Zhang, 2018). Intuitionistic fuzzy set theory, which incorporates uncertainties and hesitations, offers a promising approach for practical applications (Li et al., 2017). </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this paper focuses on milk and dairy products as a representative sector through which to explore the interconnections and trade-offs inherent in the WEF nexus. Milk remains a cornerstone of nutrition, providing essential proteins, fats, minerals, and vitamins that support bone health and metabolism. Additionally, cultures across Eastern Africa and the Americas have long regarded milk as a symbol of nourishment, purity, and vitality, making it a staple in both their diets and traditions. However, dairy production, while nutritionally indispensable, is resource-intensive: it demands substantial water for feed and sanitation, energy for processing and refrigeration, and land for fodder cultivation. Consequently, dairy products significantly contribute to greenhouse gas emissions and water demand, particularly in the diets of Europeans and American (Cambeses-Franco et al., 2022). Agriculture accounts for roughly 15% of global GHG emissions, primarily due to ruminant enteric fermentation and cropland activities that release CO₂, CH₄, and N₂O (Jantke et al., 2020). Dairy farms are the third-largest agricultural water users, following meat and cereal production (Mekonnen &amp; Hoekstra, 2012). Energy use in dairy systems primarily stems from animal housing and automated milking, which increase productivity but also electricity consumption (Todde et al., 2018; Jacobs &amp; Siegford, 2012).</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 sustainability in the dairy industry also depends on reducing losses from health-related inefficiencies, such as mastitis —a common disease that lowers milk yield and quality (Bhakat et al., 2020). Recent mitigation strategies focus on reducing methane emissions through feed additives, such as algae, which can curb livestock's climate impact without compromising milk quality (Kholif et al., 2021; Honan et al., 2021; McCauley et al., 2020). Farmer education and improved herd management have also proven effective in reducing disease incidence and resource waste (Petersson-Wolfe et al., 2018). </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advances, livestock systems have rarely been examined through a holistic WEF nexus perspective. This study, therefore, proposes a novel WEF nexus methodology for dairy farms, integrating GHG emissions, water demand, energy use, and milk yield into a comprehensive WEV Nexus Index (WEFni) for benchmarking and sustainability assessment.</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Theoretical Background: The WEF Nexus Approach</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WEF nexus framework emphasizes that sustainable development depends on the coordinated management of natural resources and the environment. In dairy systems, these interconnections are especially critical: water supports feed and animal health, energy drives production and processing, and food outputs complete the cycle through nutrient recycling. The WEF nexus promotes an integrated perspective rather than viewing these resources in isolation. </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Researchers have increasingly employed system dynamics (SD), life cycle assessment (LCA), and input-output analysis to model WEF linkages in agricultural systems. SD models capture feedback loops between water use, energy consumption, and production outcomes over time. LCA provides a status assessment of resource inputs and environmental impacts. For example Haji et al. (202) developed an "Energy-Water-Food Nexus Node" computational model to evaluate resource efficiency in agriculture. Similarly, Enrena-Barbero et al. (2023) proposed a WEF Nexus Index to quantify sustainability performance across dairy farms, integrating metrics on carbon footprint, energy intensity, and water demand. These analytical tools demonstrate how the WEF framework facilitates the identification of trade-offs and synergies, providing a basis for informed policy design and sustainable resource optimization.</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review, the WEF nexus approach is applied to dairy production to examine how integrated management can reduce emissions, conserve water, and improve food security. The goal is to highlight the interdependence of resources within dairy systems and to propose strategies for circular, low-impact production.</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Water Use in Dairy Systems</w:t>
      </w:r>
    </w:p>
    <w:p w:rsidR="00000000" w:rsidDel="00000000" w:rsidP="00000000" w:rsidRDefault="00000000" w:rsidRPr="00000000" w14:paraId="0000001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(Quantify shares (feed vs on-farm), variability by region/system, heat stress effects, link to energy)</w:t>
      </w:r>
    </w:p>
    <w:p w:rsidR="00000000" w:rsidDel="00000000" w:rsidP="00000000" w:rsidRDefault="00000000" w:rsidRPr="00000000" w14:paraId="000000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Tech/practices + circularity with 2–3 short case blurbs; call out constructed wetlands + reuse.</w:t>
      </w:r>
    </w:p>
    <w:p w:rsidR="00000000" w:rsidDel="00000000" w:rsidP="00000000" w:rsidRDefault="00000000" w:rsidRPr="00000000" w14:paraId="0000001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Metric definitions, benchmark table, policies/incentives &amp; compliance levers.</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plays a foundational role in dairy production, directly influencing milk yield, feed cultivation, and animal welfare. In the WEF context, water use is both directly used for drinking, cleaning, and cooling, and indirectly, embedded in feed and fertilized production. Studies consistently show that feed cultivation accounts for the majority of water consumption in dairy farming. Meijonnen and Hoekstra (2012) estimated that up to 90% of a dairy farm's total water footprint originates from the production of feed crops such as alfalfa, maize, and soy. This finding has been corroborated by multiple life-cycle assessments (Rebolledo-Leiva et al., 2024; Du et al., 2024), which confirm feed management as the most effective intervention for reducing total water use.</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data indicate that dairy water footprints vary widely by region and production intensity. Efficient practices-such as precision irrigation, soil moisture sensors, and rainwater harvesting—reduce water demand without compromising yield. Closed-loop water recycling systems, including constructed wetlands and anaerobic treatment lagoons, have also been shown to recover nutrients while lowering freshwater withdrawals (Muel et al., 2022). These systems enable the reuse of treated wastewater for cleaning or irrigation, advancing circular resource flows within farms. </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sustainable water management enhances climate resilience. Drought-tolerant feed crops, optimized irrigation scheduling, and shaded watering facilities mitigate heat stress on cattle while improving energy efficiency by reducing pumping requirements. Improved water practices thus contribute to multiple nexus goals—energy conservation, food security, and reduced emissions—demonstrating the integrated nature of resource management in modern dairy systems. </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robust evidence supports that water efficiency in dairy production is best achieved through feed-focused interventions, technology adoption, and circular water reuse strategies. These evidence-based methods ensure the reliability of the sections and align with validated WEF nexus studies. </w:t>
      </w:r>
    </w:p>
    <w:p w:rsidR="00000000" w:rsidDel="00000000" w:rsidP="00000000" w:rsidRDefault="00000000" w:rsidRPr="00000000" w14:paraId="0000002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Energy in Dairy Production</w:t>
      </w:r>
    </w:p>
    <w:p w:rsidR="00000000" w:rsidDel="00000000" w:rsidP="00000000" w:rsidRDefault="00000000" w:rsidRPr="00000000" w14:paraId="000000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Energy Demands Across the Dairy Chain</w:t>
      </w:r>
    </w:p>
    <w:p w:rsidR="00000000" w:rsidDel="00000000" w:rsidP="00000000" w:rsidRDefault="00000000" w:rsidRPr="00000000" w14:paraId="00000023">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Energy plays a critical role throughout the dairy supply chain—from feed production and milking to refrigeration, transport, and processing. The energy requirements of dairy operations are intrinsically linked to both water and food production, forming a tightly coupled system. In an empirical study assessing different Water–Energy–Food (WEF) nexuses through an index-based approach, Elzaki et al. (2024) demonstrated that variations in predicted water, power, or fuel consumption directly influenced the productivity index for plant and animal food systems. Beyond data correlations, this relationship highlights the mutual dependence among the three resources: energy is required to pump and treat water, which in turn supports feed and milk production. As summarized by Entrena-Barbero et al. (2023), </w:t>
      </w:r>
      <w:r w:rsidDel="00000000" w:rsidR="00000000" w:rsidRPr="00000000">
        <w:rPr>
          <w:rFonts w:ascii="Times New Roman" w:cs="Times New Roman" w:eastAsia="Times New Roman" w:hAnsi="Times New Roman"/>
          <w:i w:val="1"/>
          <w:iCs w:val="1"/>
          <w:rtl w:val="0"/>
        </w:rPr>
        <w:t xml:space="preserve">"the Water–Energy–Food (WEF) nexus emerges as a framework to consider the complex synergies among carbon emissions, water demand, energy requirements, and food production."</w:t>
      </w:r>
    </w:p>
    <w:p w:rsidR="00000000" w:rsidDel="00000000" w:rsidP="00000000" w:rsidRDefault="00000000" w:rsidRPr="00000000" w14:paraId="0000002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dairy chain, energy use is particularly concentrated in the on-farm and processing stages of the dairy industry. Elzaki et al. (2024) reported that </w:t>
      </w:r>
      <w:r w:rsidDel="00000000" w:rsidR="00000000" w:rsidRPr="00000000">
        <w:rPr>
          <w:rFonts w:ascii="Times New Roman" w:cs="Times New Roman" w:eastAsia="Times New Roman" w:hAnsi="Times New Roman"/>
          <w:i w:val="1"/>
          <w:iCs w:val="1"/>
          <w:rtl w:val="0"/>
        </w:rPr>
        <w:t xml:space="preserve">"on average, more than 20% of electricity on dairy farms is used in milking and milk cooling systems."</w:t>
      </w:r>
      <w:r w:rsidDel="00000000" w:rsidR="00000000" w:rsidRPr="00000000">
        <w:rPr>
          <w:rFonts w:ascii="Times New Roman" w:cs="Times New Roman" w:eastAsia="Times New Roman" w:hAnsi="Times New Roman"/>
          <w:rtl w:val="0"/>
        </w:rPr>
        <w:t xml:space="preserve"> Without adequate energy to power milking machines, cooling systems, transportation, and processing facilities, the entire supply chain would be disrupted. Quantitatively, Upton et al. (2021) found that </w:t>
      </w:r>
      <w:r w:rsidDel="00000000" w:rsidR="00000000" w:rsidRPr="00000000">
        <w:rPr>
          <w:rFonts w:ascii="Times New Roman" w:cs="Times New Roman" w:eastAsia="Times New Roman" w:hAnsi="Times New Roman"/>
          <w:i w:val="1"/>
          <w:iCs w:val="1"/>
          <w:rtl w:val="0"/>
        </w:rPr>
        <w:t xml:space="preserve">"electricity use averaged 7.7 kWh per 100 kg of milk and 612 kWh per cow per year. The highest electricity usage was associated with milking and milk cooling systems, which accounted for 23% and 22% of total electricity use, respectively."</w:t>
      </w:r>
      <w:r w:rsidDel="00000000" w:rsidR="00000000" w:rsidRPr="00000000">
        <w:rPr>
          <w:rFonts w:ascii="Times New Roman" w:cs="Times New Roman" w:eastAsia="Times New Roman" w:hAnsi="Times New Roman"/>
          <w:rtl w:val="0"/>
        </w:rPr>
        <w:t xml:space="preserve"> These figures underscore the increasing and intensive energy demands of modern dairy operations.</w:t>
      </w:r>
    </w:p>
    <w:p w:rsidR="00000000" w:rsidDel="00000000" w:rsidP="00000000" w:rsidRDefault="00000000" w:rsidRPr="00000000" w14:paraId="0000002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dependence on electricity and fossil fuels creates major environmental and economic burdens for dairy farms. Du et al. (2024) note that the “high dependency on fossil fuels to power milk cooling, pumping, and transport increases the carbon footprint of milk and threatens the environmental sustainability of the dairy sector.” Reducing this reliance through improved efficiency and low-carbon alternatives is essential. Aligning dairy energy strategies with the WEF nexus framework ensures that efforts to lower emissions also support water conservation and sustained food productivity.</w:t>
      </w:r>
    </w:p>
    <w:p w:rsidR="00000000" w:rsidDel="00000000" w:rsidP="00000000" w:rsidRDefault="00000000" w:rsidRPr="00000000" w14:paraId="0000002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Renewable Energy Integration</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Given the substantial environmental pressures associated with the high energy demands of dairy farms, many researchers have highlighted the need for renewable energy technologies to reduce fossil fuel dependence and greenhouse gas emissions (Upton et al., 2021; Entrena-Barbero et al., 2023). Within the broader Water–Energy–Food (WEF) nexus, renewable energy is increasingly viewed as essential for improving resource efficiency and long-term system resilience in dairy production (Du et al., 2024; Rebolledo-Leiva et al., 2024). Among the most promising technological interventions are biogas digesters, solar-powered milking systems, and energy-efficient cooling technologies.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Biogas digesters operate through anaerobic digestion, in which microbial communities convert manure and organic residues into methane-rich biogas while producing digestate that can be used as fertilizer. This closed-loop process supports multiple WEF nexus objectives by reducing waste, generating renewable energy, and recycling nutrients back into agricultural soils (García et al., 2019; Muell et al., 2022). Solar-powered milking systems represent another high-impact technology for dairy farms, particularly in regions with unreliable grid access or high fuel costs. Photovoltaic (PV) systems can power milking machines, water pumps, and cooling units while dramatically lowering operational emissions. In an assessment of renewable options for dairy facilities, El Zein, Fadel, and Al-Ansary (2021) concluded that solar energy “best fulfilled the key requirements of being environmentally friendly, cost-effective, and sustainable,” recommending PV-battery configurations for mobile automated milking systems. </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Energy-efficient cooling technologies form the third essential pillar of renewable-oriented dairy operations. Milk cooling and refrigeration typically account for 20–25% of total dairy farm electricity use, making them among the most energy-intensive processes on-site (Upton et al., 2021). Technologies such as plate heat exchangers, variable-speed pumps, and high-efficiency compressors can significantly reduce electricity consumption. Studies within the WEF framework stress that improving energy efficiency in dairy cooling directly enhances water and resource efficiency by lowering cooling loads and reducing waste heat generation (Reynolds et al., 2010; Entrena-Barbero et al., 2023).</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Collectively, these renewable energy strategies strengthen the sustainability of dairy systems by reducing emissions, enhancing circularity, and improving the interdependence of water, energy, and food systems that define the WEF nexus. Integrating biogas, solar PV, and energy-efficient technologies aligns dairy production with broader sustainability goals and supports long-term resilience in both resource availability and environmental performance (Finley &amp; Seiber, 2014; Water–Energy–Food Nexus Perspectives, 2015).</w:t>
      </w:r>
    </w:p>
    <w:p w:rsidR="00000000" w:rsidDel="00000000" w:rsidP="00000000" w:rsidRDefault="00000000" w:rsidRPr="00000000" w14:paraId="0000002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Energy Efficiency Metrics and Policy Drivers</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To measure and quantify the amount of energy being expended, specific indicators are necessary. Some metrics include: energy intensity, specific energy consumption, </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 for section 4: </w:t>
      </w:r>
    </w:p>
    <w:p w:rsidR="00000000" w:rsidDel="00000000" w:rsidP="00000000" w:rsidRDefault="00000000" w:rsidRPr="00000000" w14:paraId="0000002E">
      <w:pPr>
        <w:numPr>
          <w:ilvl w:val="0"/>
          <w:numId w:val="1"/>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Talk about data points for different sized dairy farms</w:t>
      </w:r>
    </w:p>
    <w:p w:rsidR="00000000" w:rsidDel="00000000" w:rsidP="00000000" w:rsidRDefault="00000000" w:rsidRPr="00000000" w14:paraId="0000002F">
      <w:pPr>
        <w:numPr>
          <w:ilvl w:val="0"/>
          <w:numId w:val="1"/>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Compare across states, countries, etc. </w:t>
      </w:r>
    </w:p>
    <w:p w:rsidR="00000000" w:rsidDel="00000000" w:rsidP="00000000" w:rsidRDefault="00000000" w:rsidRPr="00000000" w14:paraId="00000030">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Make it more concise </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Food and Nutrient Flows</w:t>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Feed Resource Management</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sustainable feed sourcing, local forage systems, and by-product utilization.</w:t>
      </w:r>
    </w:p>
    <w:p w:rsidR="00000000" w:rsidDel="00000000" w:rsidP="00000000" w:rsidRDefault="00000000" w:rsidRPr="00000000" w14:paraId="0000003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food and nutrients move through a dairy system, effective feed resource management is essential for long-term sustainability. This involves strategically producing, sourcing, and utilizing feed materials to support both animal performance and WEF nexus efficiency. Sustainable feed sourcing is particularly important, as feed choices influence nutrient flows, production costs, and environmental impacts. Entrena-Barbero et al. (2024) emphasize that dairy operations can enhance circularity and reduce external dependence by adopting sustainable field management and locally grounded feed strategies.</w:t>
      </w:r>
      <w:r w:rsidDel="00000000" w:rsidR="00000000" w:rsidRPr="00000000">
        <w:rPr>
          <w:rtl w:val="0"/>
        </w:rPr>
      </w:r>
    </w:p>
    <w:p w:rsidR="00000000" w:rsidDel="00000000" w:rsidP="00000000" w:rsidRDefault="00000000" w:rsidRPr="00000000" w14:paraId="0000003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forage systems are another important strategy for preserving nutrients within the dairy cycle by strengthening internal resource loops and reducing dependency on external inputs. Sustainable forage production—through practices such as crop rotation, intercropping, and cover cropping—helps maintain soil fertility, improve water efficiency, and enhance long-term resilience within the Water–Energy–Food (WEF) nexus (Finley &amp; Seiber, 2014; Sustainable Development &amp; WEF Nexus, 2015). These practices extend crop availability, support healthier soils, and help stabilize feed supplies, which is essential for efficient dairy production systems (Du et al., 2024). Another key component is by-product utilization, which involves repurposing secondary outputs from agricultural or food-processing activities. Studies highlight that reusing materials such as crop residues, food-processing by-products, or dairy waste can reduce feed costs, minimize environmental impacts, and strengthen circularity within dairy systems (García et al., 2019; Rebolledo-Leiva et al., 2024). Together, these forage and by-product strategies enhance nutrient retention, reduce waste, and contribute to a more sustainable and closed-loop dairy production model.</w:t>
      </w: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Nutrient Cycling and Circularity</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Nutrient cycling refers to the movement and reuse of essential elements within a dairy farm system. When managed effectively, it can have a long-lasting effect on the system, such as reducing waste or enhancing productivity. Within the WEF nexus, efficient nutrient cycling links water quality, energy recovery, and food system sustainability, making it a cornerstone of dairy systems. A way to balance the movement of nutrients is through the manure-to-energy and manure-to-fertilizer pathways. Anaerobic digestion is the primary conversion route, as it produces biogas and digestates that can be used to generate electricity, heat, and even vehicle fuel. This has a positive impact on the environment by mitigating methane emissions, reducing the use of fossil fuels, and providing renewable energy. Muell et al. discuss this as "Closed-loop concepts have the potential to produce syngas and bio-oil for electricity generation while reducing excessive nutrients in manure irrigation" (Muell et al., 2022, </w:t>
      </w:r>
      <w:r w:rsidDel="00000000" w:rsidR="00000000" w:rsidRPr="00000000">
        <w:rPr>
          <w:rFonts w:ascii="Times New Roman" w:cs="Times New Roman" w:eastAsia="Times New Roman" w:hAnsi="Times New Roman"/>
          <w:i w:val="1"/>
          <w:iCs w:val="1"/>
          <w:rtl w:val="0"/>
        </w:rPr>
        <w:t xml:space="preserve">Frontiers in Environmental Science</w:t>
      </w:r>
      <w:r w:rsidDel="00000000" w:rsidR="00000000" w:rsidRPr="00000000">
        <w:rPr>
          <w:rFonts w:ascii="Times New Roman" w:cs="Times New Roman" w:eastAsia="Times New Roman" w:hAnsi="Times New Roman"/>
          <w:rtl w:val="0"/>
        </w:rPr>
        <w:t xml:space="preserve">). Manure-to-energy pathways can replace synthetic fertilizers, promoting nutrient recovery and enhancing soil health. It utilizes composting for precise nutrient management and employs digestates as an organic fertilizer. The advantages of this approach are that it reduces reliance on chemical fertilizers and returns nitrogen, phosphorus, and potassium to the soil. These techniques are crucial in dairy farming to enhance productivity and maintain a sustainable dairy farm. Entrena-Barbero explores this: "It is possible … to adapt the existing process by implementing sustainable techniques such as proper field management and minimizing dependence on external feed to achieve a circular and sustainable production system." (Entrena-Barbero et al., 2024). </w:t>
      </w:r>
    </w:p>
    <w:p w:rsidR="00000000" w:rsidDel="00000000" w:rsidP="00000000" w:rsidRDefault="00000000" w:rsidRPr="00000000" w14:paraId="0000003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Animal Productivity and Resource Efficiency</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WEF nexus, animal productivity is a key indicator of resource efficiency, as higher milk yield and improved feed conversion reflect more effective use of feed, water, and energy. Efficient cows generate lower emissions per unit of milk and contribute to greater environmental and economic sustainability (Du et al., 2024). Reproductive performance also plays a central role, as well-managed herds maintain productivity with fewer resource inputs. As Reynolds, Crompton, and Mills (2010) note, “improving the efficiency of energy utilisation in cattle” enhances milk output while reducing methane and waste heat. Overall, improving feed efficiency, nutrient cycling, and energy use supports the WEF nexus objective of producing more milk with fewer resources.</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System Dynamics and Modeling Approaches</w:t>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Introduction to System Dynamics and Agent-Based Modelling </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 dynamics is a modeling approach used to analyze complex systems that change over time. It emphasizes the importance of feedback, stocks, and flows in understanding how different components interact with each other within a system. The key components of system dynamics include feedback loops, which are circular chains of cause-and-effect relationships that either amplify or dampen changes within a system. Stocks and flows represent accumulations within a system, while flows are the rates at which stocks change. Systems dynamics also recognizes that systems are nonlinear; small changes in one part of the system can lead to a ripple effect in other parts of the system. In the WEF nexus system, dynamics can assess the relationships between water use, energy demand, and feed production. An example to cite this is from Entrena-Barbero: "Thus, the Water–Energy–Food (WEF) nexus emerges as a framework to consider the complex synergies among carbon emissions, water demand, energy requirements, and food production." (Entrena-Barbero et al., 2023). </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dynamics also incorporates agent-based modelling (ABM). ABM focuses on the individual components of a system, enabling a detailed analysis of how they interact and influence one another. This synchronizes well with system dynamics as it helps to understand the behavior of autonomous agents within a system. While system dynamics provides a broad perspective, ABM aims to offer a more nuanced and accurate analysis of complex systems. </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Modelling WEF Trade-offs in Dairy System</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 models simulate long-term interactions among feed production (food), energy demand, and water use, revealing reinforcing and balancing feedbacks. For example, in </w:t>
      </w:r>
      <w:r w:rsidDel="00000000" w:rsidR="00000000" w:rsidRPr="00000000">
        <w:rPr>
          <w:rFonts w:ascii="Times New Roman" w:cs="Times New Roman" w:eastAsia="Times New Roman" w:hAnsi="Times New Roman"/>
          <w:i w:val="1"/>
          <w:iCs w:val="1"/>
          <w:rtl w:val="0"/>
        </w:rPr>
        <w:t xml:space="preserve">Du et al, </w:t>
      </w:r>
      <w:r w:rsidDel="00000000" w:rsidR="00000000" w:rsidRPr="00000000">
        <w:rPr>
          <w:rFonts w:ascii="Times New Roman" w:cs="Times New Roman" w:eastAsia="Times New Roman" w:hAnsi="Times New Roman"/>
          <w:rtl w:val="0"/>
        </w:rPr>
        <w:t xml:space="preserve">increasing herd size raised milk productivity but also amplified energy and water consumption, demonstrating a productivity-emission trade-off: "Efficiency improvements in one subsystem often increase pressures in another, underscoring the need for integrated resource management." (Du et al., 2024). Muell et al. (2022) employed a farm-scale water–energy–food–waste nexus model, demonstrating that integrating manure-to-energy conversion reduced both nutrient losses and fossil energy demand. </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 Integrated Modeling for Policy and Management</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utilizing system dynamics, a framework can help to understand the effects of different policies and changes. Trade-offs between milk yield, emissions, and water use under different management policies can be visualized for better understanding. </w:t>
      </w:r>
      <w:r w:rsidDel="00000000" w:rsidR="00000000" w:rsidRPr="00000000">
        <w:rPr>
          <w:rFonts w:ascii="Times New Roman" w:cs="Times New Roman" w:eastAsia="Times New Roman" w:hAnsi="Times New Roman"/>
          <w:rtl w:val="0"/>
        </w:rPr>
        <w:t xml:space="preserve">Haji et al. (2022) developed an SD-based Energy–Water–Food Nexus Node decision-support tool to test interventions for food security under resource constraints. “The computational modeling approach based on the Energy–Water–Food nexus node provides a dynamic platform for decision-making, enabling the assessment of resilience and sustainability under multiple policy scenarios." By being provided with a comprehensive view of the farm's operations and the interconnections of different components, farmers can better allocate resources. These models simulate the entire farm system, encompassing livestock management, crop production, and resource utilization, enabling farmers to make more informed decisions about their resources. By analyzing the impact of various management practices on the farm's performance, integrated models enable the optimization of resources, reduction of waste, and enhancement of profitability. Additionally, these models can identify opportunities for resource conservation and efficiency improvements, in turn leading to sustainable farming practices. </w:t>
        <w:br w:type="textWrapping"/>
      </w: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6.4 Implications for Future Modelling </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future, with system dynamics models integration with a life-cycle assessment (LCA), combinations with ABM, and using models for policy co-design with farmers and regulators are all future ambitions. An LCA is an approach to assess the environmental impacts of a product, service, or process throughout its entire life cycle. The primary goal of this is to provide a holistic view of the consequences of a process, enabling business and policymakers to make more informed decisions aimed at improving sustainability. With integration to system dynamics, </w:t>
      </w:r>
      <w:r w:rsidDel="00000000" w:rsidR="00000000" w:rsidRPr="00000000">
        <w:rPr>
          <w:rFonts w:ascii="Times New Roman" w:cs="Times New Roman" w:eastAsia="Times New Roman" w:hAnsi="Times New Roman"/>
          <w:rtl w:val="0"/>
        </w:rPr>
        <w:t xml:space="preserve">“Integrating LCA–SD methods allows a comprehensive examination of the cause-and-effect relationships among economic, social, and environmental systems. This combination facilitates the simulation of specific changes within the system, enabling dynamic analysis over time and giving us valuable insights for future decision-making." (Ige, Kallon, &amp; Desai, 2024). </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Policy and Governance Dimensions</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policy mechanisms supporting resource efficiency in dairy, such as incentives for renewable energy, water-use efficiency programs, and sustainable feed standards.</w:t>
        <w:br w:type="textWrapping"/>
        <w:t xml:space="preserve">Discuss global frameworks (FAO, UNEP, SDGs) and national initiatives encouraging WEF-based decision-making.</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Challenges, Gaps, and Future Directions</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limitations in data availability, integration across scales, and model validation.</w:t>
        <w:br w:type="textWrapping"/>
        <w:t xml:space="preserve">Recommend interdisciplinary research integrating life cycle assessment, economic modeling, and circular economy principles.</w:t>
        <w:br w:type="textWrapping"/>
        <w:t xml:space="preserve">Emphasize the importance of participatory approaches that engage farmers, industry, and policymakers.</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Conclusion</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Optimizing the WEF nexus in dairy systems is essential to achieving long-term sustainability, profitability, and environmental stewardship. The integration of efficient technologies, circular resource flows, and enabling policies can transform the dairy sector into a climate-resilient and resource-smart system. Future research should emphasize cross-sector collaboration and dynamic modeling approaches to support evidence-based decision-making.</w:t>
      </w:r>
    </w:p>
    <w:p w:rsidR="00000000" w:rsidDel="00000000" w:rsidP="00000000" w:rsidRDefault="00000000" w:rsidRPr="00000000" w14:paraId="0000004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References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Al-Ansari, T., &amp; Namany, S.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Energy, water, food nexus decision-making for sustainable food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Water–Energy–Food Nexus: Concept and Assessments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191–216).</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 X., Yang, H., Gui, J., Wang, Q., Liu, Y., Li, H., &amp; Shi, Z. (2024). Assessing the eco-efficiency of milk production systems using water–energy–labor–food nexus.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Science of the Total Environment, 955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176812. </w:t>
      </w:r>
      <w:hyperlink r:id="rId7">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https://doi.org/10.1016/j.scitotenv.2024.176812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Elzaki, R. M., Al-Mahish, M., &amp; Alzahrani, F. (2024). Water–Energy–Milk Nexus: Empirical evidence from Saudi Arabia.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Water, 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1538. </w:t>
      </w:r>
      <w:hyperlink r:id="rId8">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https://doi.org/10.3390/w16111538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Entrena-Barbero, E., Rebolledo-Leiva, R., Vásquez-Ibarra, L., Fernández, M., Feijoo, G., González-García, S., &amp; Moreira, M. T. (2023). Water–Energy–Food nexus index proposal as a sustainability criterion on dairy farms.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Science of the Total Environment, 874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162507. </w:t>
      </w:r>
      <w:hyperlink r:id="rId9">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https://doi.org/10.1016/j.scitotenv.2023.162507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Finley, J. W., &amp; Seiber, J. N. (2014). The nexus of food, energy, and water.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Agricultural and Food Chemistry, 62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6255–6262. </w:t>
      </w:r>
      <w:hyperlink r:id="rId10">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https://doi.org/10.1021/jf501496r</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García, D. J., Lovett, B. M., &amp; You, F. (2019). Considering agricultural wastes and ecosystem services in Food–Energy–Water–Waste Nexus system design.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Cleaner Production, 228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941–955. </w:t>
      </w:r>
      <w:hyperlink r:id="rId11">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https://doi.org/10.1016/j.jclepro.2019.04.314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Haji, M., Govindan, R., &amp; Al-Ansari, T. (2022). A computational modelling approach based on the ‘Energy–Water–Food nexus node’ to support decision-making for sustainable and resilient food security.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Computers &amp; Chemical Engineering, 163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107846. </w:t>
      </w:r>
      <w:hyperlink r:id="rId12">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https://doi.org/10.1016/j.compchemeng.2022.107846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Meyer, U., Everinghoff, M., Gädeken, D., &amp; Flachowsky, G. (2004). Investigations on the water intake of lactating dairy cows.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Livestock Production Science, 90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117–121. </w:t>
      </w:r>
      <w:hyperlink r:id="rId13">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https://doi.org/10.1016/j.livprodsci.2004.03.005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Muell, J. D., Mohtar, R. H., Kan, E. S., Assi, A. T., &amp; Pappa, V. (2022). Farm-scale water–energy–food–waste nexus analysis for a closed-loop dairy system.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Environmental Science,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880839. </w:t>
      </w:r>
      <w:hyperlink r:id="rId14">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https://doi.org/10.3389/fenvs.2022.880839</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Murdock, S. H., White, S., Hoque, M. N., Pecotte, B., You, X., &amp; Balkan, J. (2002).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Texas challenge in the twenty-first century: Implications of population change for the future of Texas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(Departmental Technical Report No. 1). Department of Rural Sociology, Texas A&amp;M University System.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Rebolledo-Leiva, R., Barros, M. V., Entrena-Barbero, E., Vásquez-Ibarra, L., Fernández, M., Feijoo, G., &amp; González-García, S. (2024). Embedding Water–Energy–Food nexus and circularity assessment for organization benchmarking: A case study for dairy farms.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Waste Management, 189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410–420. </w:t>
      </w:r>
      <w:hyperlink r:id="rId15">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https://doi.org/10.1016/j.wasman.2024.08.038</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Reynolds, C. K., Crompton, L. A., &amp; Mills, J. A. (2010). Improving the efficiency of energy utilisation in cattle.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Animal Production Science, 51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6–12. </w:t>
      </w:r>
      <w:hyperlink r:id="rId16">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https://doi.org/10.1071/AN10160</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computational modelling approach based on the ‘Energy–Water–Food nexus node’ to support decision-making for sustainable and resilient food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Computers &amp; Chemical Engineering, 163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107846. </w:t>
      </w:r>
      <w:hyperlink r:id="rId17">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https://doi.org/10.1016/j.compchemeng.2022.107846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Water–Energy–Food Nexus Perspective on the Challenge of Eutrophication.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Water,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101. </w:t>
      </w:r>
      <w:hyperlink r:id="rId18">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https://doi.org/10.3390/w10020101</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Sustainable development and the Water–Energy–Food nexus: A perspective on livelihoods.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Environmental Science &amp; Policy, 54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389–397. </w:t>
      </w:r>
      <w:hyperlink r:id="rId19">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https://doi.org/10.1016/j.envsci.2015.08.002</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System analysis of Water–Energy–Food nexus of Bundelkhand region, India.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Blue-Green Systems,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12. </w:t>
      </w:r>
      <w:hyperlink r:id="rId20">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https://doi.org/10.2166/bgs.2022.012</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Water–Food–Energy Nexus – Realising a new paradigm.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Hydrology, 533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533–540. </w:t>
      </w:r>
      <w:hyperlink r:id="rId21">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https://doi.org/10.1016/j.jhydrol.2015.12.033</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Toward sustainable dietary patterns under a Water–Energy–Food nexus life cycle thinking approach.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Current Opinion in Environmental Sustainability, 41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w:t>
      </w:r>
      <w:hyperlink r:id="rId22">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https://doi.org/10.1016/j.coesh.2019.11.001</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Water–Energy–Food nexus in the sustainable management of crop-livestock coupled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Applied Energy, 124824.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3">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https://doi.org/10.1016/j.apenergy.2024.124824</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24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Upton, J., Shalloo, L., Humphreys, J., &amp; Murphy, M. D. (2021). </w:t>
      </w:r>
      <w:r w:rsidDel="00000000" w:rsidR="00000000" w:rsidRPr="00000000">
        <w:rPr>
          <w:rFonts w:ascii="Times New Roman" w:cs="Times New Roman" w:eastAsia="Times New Roman" w:hAnsi="Times New Roman"/>
          <w:i w:val="1"/>
          <w:iCs w:val="1"/>
          <w:rtl w:val="0"/>
        </w:rPr>
        <w:t xml:space="preserve">Dairy farm electricity use, conservation, and renewable production – A global perspective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Applied Energy</w:t>
      </w:r>
      <w:r w:rsidDel="00000000" w:rsidR="00000000" w:rsidRPr="00000000">
        <w:rPr>
          <w:rFonts w:ascii="Times New Roman" w:cs="Times New Roman" w:eastAsia="Times New Roman" w:hAnsi="Times New Roman"/>
          <w:rtl w:val="0"/>
        </w:rPr>
        <w:t xml:space="preserve">, 301, 117453. </w:t>
      </w:r>
      <w:hyperlink r:id="rId24">
        <w:r w:rsidDel="00000000" w:rsidR="00000000" w:rsidRPr="00000000">
          <w:rPr>
            <w:rFonts w:ascii="Times New Roman" w:cs="Times New Roman" w:eastAsia="Times New Roman" w:hAnsi="Times New Roman"/>
            <w:color w:val="1155cc"/>
            <w:u w:val="single"/>
            <w:rtl w:val="0"/>
          </w:rPr>
          <w:t xml:space="preserve">https://doi.org/10.1016/j.apenergy.2021.117453</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24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Zein, A., Fadel, H., &amp; Al-Ansary, H. A. (2021). </w:t>
      </w:r>
      <w:r w:rsidDel="00000000" w:rsidR="00000000" w:rsidRPr="00000000">
        <w:rPr>
          <w:rFonts w:ascii="Times New Roman" w:cs="Times New Roman" w:eastAsia="Times New Roman" w:hAnsi="Times New Roman"/>
          <w:i w:val="1"/>
          <w:iCs w:val="1"/>
          <w:rtl w:val="0"/>
        </w:rPr>
        <w:t xml:space="preserve">Investigating off-grid systems for a mobile automated milking facility.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Renewable Energy</w:t>
      </w:r>
      <w:r w:rsidDel="00000000" w:rsidR="00000000" w:rsidRPr="00000000">
        <w:rPr>
          <w:rFonts w:ascii="Times New Roman" w:cs="Times New Roman" w:eastAsia="Times New Roman" w:hAnsi="Times New Roman"/>
          <w:rtl w:val="0"/>
        </w:rPr>
        <w:t xml:space="preserve">, 175, 589–602. </w:t>
      </w:r>
      <w:hyperlink r:id="rId25">
        <w:r w:rsidDel="00000000" w:rsidR="00000000" w:rsidRPr="00000000">
          <w:rPr>
            <w:rFonts w:ascii="Times New Roman" w:cs="Times New Roman" w:eastAsia="Times New Roman" w:hAnsi="Times New Roman"/>
            <w:color w:val="1155cc"/>
            <w:u w:val="single"/>
            <w:rtl w:val="0"/>
          </w:rPr>
          <w:t xml:space="preserve">https://doi.org/10.1016/j.renene.2021.04.004</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numPr>
          <w:ilvl w:val="0"/>
          <w:numId w:val="2"/>
        </w:numPr>
        <w:spacing w:after="24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Ige, O. E., Kallon, D. V. V., &amp; Desai, D. (2024). </w:t>
      </w:r>
      <w:r w:rsidDel="00000000" w:rsidR="00000000" w:rsidRPr="00000000">
        <w:rPr>
          <w:rFonts w:ascii="Times New Roman" w:cs="Times New Roman" w:eastAsia="Times New Roman" w:hAnsi="Times New Roman"/>
          <w:i w:val="1"/>
          <w:iCs w:val="1"/>
          <w:rtl w:val="0"/>
        </w:rPr>
        <w:t xml:space="preserve">Integrating Life Cycle Assessment and System Dynamics Modeling for Sustainable Practice: Review.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Proceedings of the 5th African International Conference on Industrial Engineering and Operations Management,</w:t>
      </w:r>
      <w:r w:rsidDel="00000000" w:rsidR="00000000" w:rsidRPr="00000000">
        <w:rPr>
          <w:rFonts w:ascii="Times New Roman" w:cs="Times New Roman" w:eastAsia="Times New Roman" w:hAnsi="Times New Roman"/>
          <w:rtl w:val="0"/>
        </w:rPr>
        <w:t xml:space="preserve"> Johannesburg/Pretoria, South Africa, April 23–25, 2024.</w:t>
      </w:r>
      <w:hyperlink r:id="rId26">
        <w:r w:rsidDel="00000000" w:rsidR="00000000" w:rsidRPr="00000000">
          <w:rPr>
            <w:rFonts w:ascii="Times New Roman" w:cs="Times New Roman" w:eastAsia="Times New Roman" w:hAnsi="Times New Roman"/>
            <w:rtl w:val="0"/>
          </w:rPr>
          <w:t xml:space="preserve"> </w:t>
        </w:r>
      </w:hyperlink>
      <w:hyperlink r:id="rId27">
        <w:r w:rsidDel="00000000" w:rsidR="00000000" w:rsidRPr="00000000">
          <w:rPr>
            <w:rFonts w:ascii="Times New Roman" w:cs="Times New Roman" w:eastAsia="Times New Roman" w:hAnsi="Times New Roman"/>
            <w:color w:val="1155cc"/>
            <w:u w:val="single"/>
            <w:rtl w:val="0"/>
          </w:rPr>
          <w:t xml:space="preserve">https://doi.org/10.46254/AF05.20240180</w:t>
        </w:r>
      </w:hyperlink>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7613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7613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7613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7613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7613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7613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7613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7613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7613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7613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7613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7613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7613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7613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7613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76134"/>
    <w:rPr>
      <w:i w:val="1"/>
      <w:iCs w:val="1"/>
      <w:color w:val="404040" w:themeColor="text1" w:themeTint="0000BF"/>
    </w:rPr>
  </w:style>
  <w:style w:type="paragraph" w:styleId="ListParagraph">
    <w:name w:val="List Paragraph"/>
    <w:basedOn w:val="Normal"/>
    <w:uiPriority w:val="34"/>
    <w:qFormat w:val="1"/>
    <w:rsid w:val="00076134"/>
    <w:pPr>
      <w:ind w:left="720"/>
      <w:contextualSpacing w:val="1"/>
    </w:pPr>
  </w:style>
  <w:style w:type="character" w:styleId="IntenseEmphasis">
    <w:name w:val="Intense Emphasis"/>
    <w:basedOn w:val="DefaultParagraphFont"/>
    <w:uiPriority w:val="21"/>
    <w:qFormat w:val="1"/>
    <w:rsid w:val="00076134"/>
    <w:rPr>
      <w:i w:val="1"/>
      <w:iCs w:val="1"/>
      <w:color w:val="0f4761" w:themeColor="accent1" w:themeShade="0000BF"/>
    </w:rPr>
  </w:style>
  <w:style w:type="paragraph" w:styleId="IntenseQuote">
    <w:name w:val="Intense Quote"/>
    <w:basedOn w:val="Normal"/>
    <w:next w:val="Normal"/>
    <w:link w:val="IntenseQuoteChar"/>
    <w:uiPriority w:val="30"/>
    <w:qFormat w:val="1"/>
    <w:rsid w:val="0007613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76134"/>
    <w:rPr>
      <w:i w:val="1"/>
      <w:iCs w:val="1"/>
      <w:color w:val="0f4761" w:themeColor="accent1" w:themeShade="0000BF"/>
    </w:rPr>
  </w:style>
  <w:style w:type="character" w:styleId="IntenseReference">
    <w:name w:val="Intense Reference"/>
    <w:basedOn w:val="DefaultParagraphFont"/>
    <w:uiPriority w:val="32"/>
    <w:qFormat w:val="1"/>
    <w:rsid w:val="00076134"/>
    <w:rPr>
      <w:b w:val="1"/>
      <w:bCs w:val="1"/>
      <w:smallCaps w:val="1"/>
      <w:color w:val="0f4761" w:themeColor="accent1" w:themeShade="0000BF"/>
      <w:spacing w:val="5"/>
    </w:rPr>
  </w:style>
  <w:style w:type="character" w:styleId="Hyperlink">
    <w:name w:val="Hyperlink"/>
    <w:basedOn w:val="DefaultParagraphFont"/>
    <w:uiPriority w:val="99"/>
    <w:unhideWhenUsed w:val="1"/>
    <w:rsid w:val="00221E84"/>
    <w:rPr>
      <w:color w:val="467886" w:themeColor="hyperlink"/>
      <w:u w:val="single"/>
    </w:rPr>
  </w:style>
  <w:style w:type="character" w:styleId="UnresolvedMention">
    <w:name w:val="Unresolved Mention"/>
    <w:basedOn w:val="DefaultParagraphFont"/>
    <w:uiPriority w:val="99"/>
    <w:semiHidden w:val="1"/>
    <w:unhideWhenUsed w:val="1"/>
    <w:rsid w:val="00221E84"/>
    <w:rPr>
      <w:color w:val="605e5c"/>
      <w:shd w:color="auto" w:fill="e1dfdd" w:val="clear"/>
    </w:rPr>
  </w:style>
  <w:style w:type="paragraph" w:styleId="NormalWeb">
    <w:name w:val="Normal (Web)"/>
    <w:basedOn w:val="Normal"/>
    <w:uiPriority w:val="99"/>
    <w:semiHidden w:val="1"/>
    <w:unhideWhenUsed w:val="1"/>
    <w:rsid w:val="00221E84"/>
    <w:pPr>
      <w:spacing w:after="100" w:afterAutospacing="1" w:before="100" w:beforeAutospacing="1" w:line="240" w:lineRule="auto"/>
    </w:pPr>
    <w:rPr>
      <w:rFonts w:ascii="Times New Roman" w:cs="Times New Roman" w:eastAsia="Times New Roman" w:hAnsi="Times New Roman"/>
      <w:kern w:val="0"/>
    </w:rPr>
  </w:style>
  <w:style w:type="character" w:styleId="Emphasis">
    <w:name w:val="Emphasis"/>
    <w:basedOn w:val="DefaultParagraphFont"/>
    <w:uiPriority w:val="20"/>
    <w:qFormat w:val="1"/>
    <w:rsid w:val="00221E84"/>
    <w:rPr>
      <w:i w:val="1"/>
      <w:i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2166/bgs.2022.012" TargetMode="External"/><Relationship Id="rId22" Type="http://schemas.openxmlformats.org/officeDocument/2006/relationships/hyperlink" Target="https://doi.org/10.1016/j.coesh.2019.11.001" TargetMode="External"/><Relationship Id="rId21" Type="http://schemas.openxmlformats.org/officeDocument/2006/relationships/hyperlink" Target="https://doi.org/10.1016/j.jhydrol.2015.12.033" TargetMode="External"/><Relationship Id="rId24" Type="http://schemas.openxmlformats.org/officeDocument/2006/relationships/hyperlink" Target="https://doi.org/10.1016/j.apenergy.2021.117453" TargetMode="External"/><Relationship Id="rId23" Type="http://schemas.openxmlformats.org/officeDocument/2006/relationships/hyperlink" Target="https://doi.org/10.1016/j.apenergy.2024.1248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scitotenv.2023.162507" TargetMode="External"/><Relationship Id="rId26" Type="http://schemas.openxmlformats.org/officeDocument/2006/relationships/hyperlink" Target="https://doi.org/10.46254/AF05.20240180" TargetMode="External"/><Relationship Id="rId25" Type="http://schemas.openxmlformats.org/officeDocument/2006/relationships/hyperlink" Target="https://doi.org/10.1016/j.renene.2021.04.004" TargetMode="External"/><Relationship Id="rId28" Type="http://schemas.openxmlformats.org/officeDocument/2006/relationships/header" Target="header1.xml"/><Relationship Id="rId27" Type="http://schemas.openxmlformats.org/officeDocument/2006/relationships/hyperlink" Target="https://doi.org/10.46254/AF05.2024018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016/j.scitotenv.2024.176812" TargetMode="External"/><Relationship Id="rId8" Type="http://schemas.openxmlformats.org/officeDocument/2006/relationships/hyperlink" Target="https://doi.org/10.3390/w16111538" TargetMode="External"/><Relationship Id="rId11" Type="http://schemas.openxmlformats.org/officeDocument/2006/relationships/hyperlink" Target="https://doi.org/10.1016/j.jclepro.2019.04.314" TargetMode="External"/><Relationship Id="rId10" Type="http://schemas.openxmlformats.org/officeDocument/2006/relationships/hyperlink" Target="https://doi.org/10.1021/jf501496r" TargetMode="External"/><Relationship Id="rId13" Type="http://schemas.openxmlformats.org/officeDocument/2006/relationships/hyperlink" Target="https://doi.org/10.1016/j.livprodsci.2004.03.005" TargetMode="External"/><Relationship Id="rId12" Type="http://schemas.openxmlformats.org/officeDocument/2006/relationships/hyperlink" Target="https://doi.org/10.1016/j.compchemeng.2022.107846" TargetMode="External"/><Relationship Id="rId15" Type="http://schemas.openxmlformats.org/officeDocument/2006/relationships/hyperlink" Target="https://doi.org/10.1016/j.wasman.2024.08.038" TargetMode="External"/><Relationship Id="rId14" Type="http://schemas.openxmlformats.org/officeDocument/2006/relationships/hyperlink" Target="https://doi.org/10.3389/fenvs.2022.880839" TargetMode="External"/><Relationship Id="rId17" Type="http://schemas.openxmlformats.org/officeDocument/2006/relationships/hyperlink" Target="https://doi.org/10.1016/j.compchemeng.2022.107846" TargetMode="External"/><Relationship Id="rId16" Type="http://schemas.openxmlformats.org/officeDocument/2006/relationships/hyperlink" Target="https://doi.org/10.1071/AN10160" TargetMode="External"/><Relationship Id="rId19" Type="http://schemas.openxmlformats.org/officeDocument/2006/relationships/hyperlink" Target="https://doi.org/10.1016/j.envsci.2015.08.002" TargetMode="External"/><Relationship Id="rId18" Type="http://schemas.openxmlformats.org/officeDocument/2006/relationships/hyperlink" Target="https://doi.org/10.3390/w100201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7JhfYjDHuf71kcUxfKoOR6Ulg==">CgMxLjA4AHIhMWtNTlZfMWt2a25LeVdSYVZkTXA5elNac1VVR0Zaempp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2025-10-13T16:53:00Z</dcterms:created>
  <dc:creator>Aparna Pushkaran Ajitha</dc:creator>
</cp:coreProperties>
</file>