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Arial" w:cs="Arial" w:eastAsia="Arial" w:hAnsi="Arial"/>
          <w:b/>
          <w:bCs/>
          <w:color w:val="2F5597"/>
          <w:sz w:val="34"/>
          <w:szCs w:val="34"/>
        </w:rPr>
        <w:t xml:space="preserve">SHIVAM KUMAR</w:t>
      </w:r>
    </w:p>
    <w:p>
      <w:pPr>
        <w:spacing w:after="12" w:before="0" w:line="21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shivamkm07@gmail.com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+91-9129085031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hyperlink w:history="1" r:id="rId_mhky25n9fsjbaodgleeh">
        <w:r>
          <w:rPr>
            <w:rFonts w:ascii="Calibri" w:cs="Calibri" w:eastAsia="Calibri" w:hAnsi="Calibri"/>
            <w:color w:val="2F5597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hyperlink w:history="1" r:id="rIdwuxvkcdbxuf5iloi-nywn">
        <w:r>
          <w:rPr>
            <w:rFonts w:ascii="Calibri" w:cs="Calibri" w:eastAsia="Calibri" w:hAnsi="Calibri"/>
            <w:color w:val="2F5597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666666"/>
          <w:sz w:val="19"/>
          <w:szCs w:val="19"/>
        </w:rPr>
        <w:t xml:space="preserve">  |  Hyderabad, India</w:t>
      </w:r>
    </w:p>
    <w:p>
      <w:pPr>
        <w:keepNext/>
        <w:pBdr>
          <w:bottom w:val="single" w:color="B7B7B7" w:sz="5" w:space="4"/>
        </w:pBdr>
        <w:spacing w:after="32" w:before="88" w:line="210"/>
      </w:pPr>
      <w:r>
        <w:rPr>
          <w:rFonts w:ascii="Arial" w:cs="Arial" w:eastAsia="Arial" w:hAnsi="Arial"/>
          <w:b/>
          <w:bCs/>
          <w:color w:val="2F5597"/>
          <w:sz w:val="21"/>
          <w:szCs w:val="21"/>
        </w:rPr>
        <w:t xml:space="preserve">PROFESSIONAL SUMMARY</w:t>
      </w:r>
    </w:p>
    <w:p>
      <w:p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SDE II at Microsoft building Azure cloud-native platforms, distributed systems, and Kubernetes-based container infrastructure. Expertise in microservices architecture, AI/LLM-powered SRE automation, and Dapr (CNCF Graduated). IIT Kanpur, 5 YoE.</w:t>
      </w:r>
    </w:p>
    <w:p>
      <w:pPr>
        <w:keepNext/>
        <w:pBdr>
          <w:bottom w:val="single" w:color="B7B7B7" w:sz="5" w:space="4"/>
        </w:pBdr>
        <w:spacing w:after="32" w:before="88" w:line="210"/>
      </w:pPr>
      <w:r>
        <w:rPr>
          <w:rFonts w:ascii="Arial" w:cs="Arial" w:eastAsia="Arial" w:hAnsi="Arial"/>
          <w:b/>
          <w:bCs/>
          <w:color w:val="2F5597"/>
          <w:sz w:val="21"/>
          <w:szCs w:val="21"/>
        </w:rPr>
        <w:t xml:space="preserve">WORK EXPERIENCE</w:t>
      </w:r>
    </w:p>
    <w:tbl>
      <w:tblPr>
        <w:tblW w:type="dxa" w:w="102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0"/>
        <w:gridCol w:w="268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Software Development Engineer II — Azure Container Apps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Jul 2024 – Present</w:t>
            </w:r>
          </w:p>
        </w:tc>
      </w:tr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Microsoft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Hyderabad, India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Engineered AI-powered SRE agent for Azure Container Apps, reducing P50 TTM by 97% and TTR by 64%; added RCA subagents, self-repair, auto-resolution, and Ev2 deployment pipelines.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Enhanced Azure Functions on ACA with graceful drain, key management, KEDA scale rules, tracing, and durable event logs; deployed to ~1,322 apps.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Resolved P0 blockers for ACA Express Public Preview on Azure Dev Compute (ADC), unblocking ~100K+ environments for ephemeral volumes and Log Analytics customer logs.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ACA Sessions management APIs, fixed async execution bugs for ~300 external customers, and enabled early Fabric session deletion to reduce resource cost.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Led Dapr AKS Extension rollouts across ~400 AKS clusters and integrated ACA agentic apps with Foundry Control Plane for central management of ~2,000+ apps.</w:t>
      </w:r>
    </w:p>
    <w:tbl>
      <w:tblPr>
        <w:tblW w:type="dxa" w:w="102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0"/>
        <w:gridCol w:w="268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Software Development Engineer I — Dapr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Jul 2021 – Jul 2024</w:t>
            </w:r>
          </w:p>
        </w:tc>
      </w:tr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Microsoft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Hyderabad, India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Stabilized Dapr building blocks across Configuration API, MQTT PubSub, CosmosDB state, and Redis/PostgreSQL config stores; added Event Hubs bulk-subscribe and CLI airgap install.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Cascade Terminate/Purge for Dapr Workflows and fixed scalability bottlenecks found through performance tests.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Co-launched ACA Sessions, owning Node.js/.NET code-interpreter support for Security Copilot; fixed critical bugs and added regression coverage for 3000+ active sessionPools.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patch-based internal fork infrastructure across 5 Dapr repositories; built OneBranch/Ev2 pipelines and automated OSS-to-internal releases with &lt;1 day SLA.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multi-architecture Dapr/dashboard images, 1P Container Registry migration, ACA nightly builds, and Mariner/distroless images to MCR.</w:t>
      </w:r>
    </w:p>
    <w:tbl>
      <w:tblPr>
        <w:tblW w:type="dxa" w:w="102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0"/>
        <w:gridCol w:w="268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Quantitative Research Intern — E-Trading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May 2020 – Jul 2020</w:t>
            </w:r>
          </w:p>
        </w:tc>
      </w:tr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JP Morgan &amp; Chase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Mumbai, India (Remote)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price prediction models using LSTM, feedforward neural networks, and regression with univariate feature selection; improved predictive power by 40% for HK names through feature standardization.</w:t>
      </w:r>
    </w:p>
    <w:p>
      <w:pPr>
        <w:keepNext/>
        <w:pBdr>
          <w:bottom w:val="single" w:color="B7B7B7" w:sz="5" w:space="4"/>
        </w:pBdr>
        <w:spacing w:after="32" w:before="88" w:line="210"/>
      </w:pPr>
      <w:r>
        <w:rPr>
          <w:rFonts w:ascii="Arial" w:cs="Arial" w:eastAsia="Arial" w:hAnsi="Arial"/>
          <w:b/>
          <w:bCs/>
          <w:color w:val="2F5597"/>
          <w:sz w:val="21"/>
          <w:szCs w:val="21"/>
        </w:rPr>
        <w:t xml:space="preserve">RESEARCH</w:t>
      </w:r>
    </w:p>
    <w:tbl>
      <w:tblPr>
        <w:tblW w:type="dxa" w:w="102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0"/>
        <w:gridCol w:w="268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Data Race Detection for Task-Parallel Programs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Jun 2019 – Aug 2021</w:t>
            </w:r>
          </w:p>
        </w:tc>
      </w:tr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Supervisor: Prof. Swarnendu Biswas, IIT Kanpur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Tasker, combining vector clocks with tree-based techniques; built an LLVM memory instrumentation pass and achieved 1.48x speedup over PTRacer with lower memory overhead.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“Efficient Data Race Detection of Structured Task Parallel Programs Using Vector Clocks” — S. Kumar, A. Agrawal, S. Biswas | Submitted to ISCGO 2022.</w:t>
      </w:r>
    </w:p>
    <w:p>
      <w:pPr>
        <w:keepNext/>
        <w:pBdr>
          <w:bottom w:val="single" w:color="B7B7B7" w:sz="5" w:space="4"/>
        </w:pBdr>
        <w:spacing w:after="32" w:before="88" w:line="210"/>
      </w:pPr>
      <w:r>
        <w:rPr>
          <w:rFonts w:ascii="Arial" w:cs="Arial" w:eastAsia="Arial" w:hAnsi="Arial"/>
          <w:b/>
          <w:bCs/>
          <w:color w:val="2F5597"/>
          <w:sz w:val="21"/>
          <w:szCs w:val="21"/>
        </w:rPr>
        <w:t xml:space="preserve">PROJECTS</w:t>
      </w:r>
    </w:p>
    <w:p>
      <w:pPr>
        <w:keepNext/>
        <w:spacing w:after="0" w:before="8" w:line="21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GemOS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C, x86 — OS kernel (IIT Kanpur CS330)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|  </w:t>
      </w:r>
      <w:hyperlink w:history="1" r:id="rIdfiqjpdbr1-mxidto1ig0i">
        <w:r>
          <w:rPr>
            <w:rFonts w:ascii="Calibri" w:cs="Calibri" w:eastAsia="Calibri" w:hAnsi="Calibri"/>
            <w:color w:val="2F5597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mmap/munmap/mprotect with lazy allocation and page-fault handling; cfork/vfork with copy-on-write semantics.</w:t>
      </w:r>
    </w:p>
    <w:p>
      <w:pPr>
        <w:keepNext/>
        <w:spacing w:after="0" w:before="8" w:line="21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Cipher Decoder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Python, Modern Cryptology (CS641)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|  </w:t>
      </w:r>
      <w:hyperlink w:history="1" r:id="rIdcqfcmtdblsvploi6vopgn">
        <w:r>
          <w:rPr>
            <w:rFonts w:ascii="Calibri" w:cs="Calibri" w:eastAsia="Calibri" w:hAnsi="Calibri"/>
            <w:color w:val="2F5597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Performed differential cryptanalysis of 3-DES and decrypted Caesar/Vigenere ciphers using frequency analysis.</w:t>
      </w:r>
    </w:p>
    <w:p>
      <w:pPr>
        <w:keepNext/>
        <w:pBdr>
          <w:bottom w:val="single" w:color="B7B7B7" w:sz="5" w:space="4"/>
        </w:pBdr>
        <w:spacing w:after="32" w:before="88" w:line="210"/>
      </w:pPr>
      <w:r>
        <w:rPr>
          <w:rFonts w:ascii="Arial" w:cs="Arial" w:eastAsia="Arial" w:hAnsi="Arial"/>
          <w:b/>
          <w:bCs/>
          <w:color w:val="2F5597"/>
          <w:sz w:val="21"/>
          <w:szCs w:val="21"/>
        </w:rPr>
        <w:t xml:space="preserve">TECHNICAL SKILLS</w:t>
      </w:r>
    </w:p>
    <w:p>
      <w:pPr>
        <w:spacing w:after="0" w:before="0" w:line="21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Go, C#/.NET, Python, C/C++</w:t>
      </w:r>
    </w:p>
    <w:p>
      <w:pPr>
        <w:spacing w:after="0" w:before="0" w:line="21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Cloud &amp; Infra: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Azure (ACA, Functions, AKS), Kubernetes, Docker, Helm, KEDA</w:t>
      </w:r>
    </w:p>
    <w:p>
      <w:pPr>
        <w:spacing w:after="0" w:before="0" w:line="21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Distributed Systems: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Dapr (CNCF), Microservices, Service Mesh, gRPC, Pub/Sub</w:t>
      </w:r>
    </w:p>
    <w:p>
      <w:pPr>
        <w:keepNext/>
        <w:pBdr>
          <w:bottom w:val="single" w:color="B7B7B7" w:sz="5" w:space="4"/>
        </w:pBdr>
        <w:spacing w:after="32" w:before="88" w:line="210"/>
      </w:pPr>
      <w:r>
        <w:rPr>
          <w:rFonts w:ascii="Arial" w:cs="Arial" w:eastAsia="Arial" w:hAnsi="Arial"/>
          <w:b/>
          <w:bCs/>
          <w:color w:val="2F5597"/>
          <w:sz w:val="21"/>
          <w:szCs w:val="21"/>
        </w:rPr>
        <w:t xml:space="preserve">EDUCATION</w:t>
      </w:r>
    </w:p>
    <w:tbl>
      <w:tblPr>
        <w:tblW w:type="dxa" w:w="102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0"/>
        <w:gridCol w:w="268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Indian Institute of Technology, Kanpur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2017 – 2021</w:t>
            </w:r>
          </w:p>
        </w:tc>
      </w:tr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Bachelor of Technology in Computer Science and Engineering | CGPA: 9.4/10.0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 w:line="21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B7B7B7" w:sz="5" w:space="4"/>
        </w:pBdr>
        <w:spacing w:after="32" w:before="88" w:line="210"/>
      </w:pPr>
      <w:r>
        <w:rPr>
          <w:rFonts w:ascii="Arial" w:cs="Arial" w:eastAsia="Arial" w:hAnsi="Arial"/>
          <w:b/>
          <w:bCs/>
          <w:color w:val="2F5597"/>
          <w:sz w:val="21"/>
          <w:szCs w:val="21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IDC Pinnacle FY'26 – Best AI Success Story (ACA RCA Agent squad, ~200+ competing teams); RockStar Award, Microsoft ('22, '23).</w:t>
      </w:r>
    </w:p>
    <w:p>
      <w:pPr>
        <w:pStyle w:val="ListParagraph"/>
        <w:numPr>
          <w:ilvl w:val="0"/>
          <w:numId w:val="2"/>
        </w:numPr>
        <w:spacing w:after="8" w:before="0" w:line="21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Academic Excellence Award (x2), IIT Kanpur | JEE Adv. AIR 715 | JEE Main AIR 348 | KVPY Scholar | NSE Physics Top 1%.</w:t>
      </w:r>
    </w:p>
    <w:sectPr>
      <w:pgSz w:w="12240" w:h="15840" w:orient="portrait"/>
      <w:pgMar w:top="440" w:right="980" w:bottom="36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5" w:hanging="145"/>
      </w:pPr>
      <w:rPr>
        <w:rFonts w:ascii="Calibri" w:cs="Calibri" w:eastAsia="Calibri" w:hAnsi="Calibri"/>
        <w:color w:val="333333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9"/>
        <w:szCs w:val="19"/>
      </w:rPr>
    </w:rPrDefault>
    <w:pPrDefault>
      <w:pPr>
        <w:spacing w:after="0" w:before="0" w:line="20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mhky25n9fsjbaodgleeh" Type="http://schemas.openxmlformats.org/officeDocument/2006/relationships/hyperlink" Target="https://www.linkedin.com/in/shivamkm07" TargetMode="External"/><Relationship Id="rIdwuxvkcdbxuf5iloi-nywn" Type="http://schemas.openxmlformats.org/officeDocument/2006/relationships/hyperlink" Target="https://github.com/shivamkm07" TargetMode="External"/><Relationship Id="rIdfiqjpdbr1-mxidto1ig0i" Type="http://schemas.openxmlformats.org/officeDocument/2006/relationships/hyperlink" Target="https://github.com/shivamkm07/gemOS" TargetMode="External"/><Relationship Id="rIdcqfcmtdblsvploi6vopgn" Type="http://schemas.openxmlformats.org/officeDocument/2006/relationships/hyperlink" Target="https://github.com/shivamkm/deciph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Copilot</dc:creator>
  <dc:description>Shivam Kumar resume in Google Docs style</dc:description>
  <cp:lastModifiedBy>Un-named</cp:lastModifiedBy>
  <cp:revision>1</cp:revision>
  <dcterms:created xsi:type="dcterms:W3CDTF">2026-06-23T11:21:47.129Z</dcterms:created>
  <dcterms:modified xsi:type="dcterms:W3CDTF">2026-06-23T11:21:47.129Z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