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LeadRevive — Business operations case study</w:t>
      </w:r>
    </w:p>
    <w:p>
      <w:r>
        <w:t>SYNTHETIC portfolio case | Snapshot 9a80207b950500a9 | Revision d0b3c2463213</w:t>
      </w:r>
    </w:p>
    <w:p>
      <w:r>
        <w:t>Evaluated 2026-10-24T15:44:29.684236Z. All stored creation dates through evaluation time. Current-state reporting.</w:t>
      </w:r>
    </w:p>
    <w:p>
      <w:pPr>
        <w:pStyle w:val="Heading1"/>
      </w:pPr>
      <w:r>
        <w:t>Problem and decision</w:t>
      </w:r>
    </w:p>
    <w:p>
      <w:r>
        <w:t>A B2B services team needs to see unowned enquiries, late first responses and missed next actions. The system helps a manager assign work and prioritize follow-up; it does not establish that overdue leads are lost sales.</w:t>
      </w:r>
    </w:p>
    <w:p>
      <w:pPr>
        <w:pStyle w:val="Heading1"/>
      </w:pPr>
      <w:r>
        <w:t>Method and cohort</w:t>
      </w:r>
    </w:p>
    <w:p>
      <w:r>
        <w:t>PostgreSQL is canonical. Independent SQL and Python calculations reconcile before publication; CSV/Excel are read back. Power BI aggregates the derived facts. Cohort: 758 leads (754 seed records; 4 controlled fixtures).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Snapshot value</w:t>
            </w:r>
          </w:p>
        </w:tc>
      </w:tr>
      <w:tr>
        <w:tc>
          <w:tcPr>
            <w:tcW w:type="dxa" w:w="4320"/>
          </w:tcPr>
          <w:p>
            <w:r>
              <w:t>Leads in cohort</w:t>
            </w:r>
          </w:p>
        </w:tc>
        <w:tc>
          <w:tcPr>
            <w:tcW w:type="dxa" w:w="4320"/>
          </w:tcPr>
          <w:p>
            <w:r>
              <w:t>758</w:t>
            </w:r>
          </w:p>
        </w:tc>
      </w:tr>
      <w:tr>
        <w:tc>
          <w:tcPr>
            <w:tcW w:type="dxa" w:w="4320"/>
          </w:tcPr>
          <w:p>
            <w:r>
              <w:t>First contacted</w:t>
            </w:r>
          </w:p>
        </w:tc>
        <w:tc>
          <w:tcPr>
            <w:tcW w:type="dxa" w:w="4320"/>
          </w:tcPr>
          <w:p>
            <w:r>
              <w:t>574</w:t>
            </w:r>
          </w:p>
        </w:tc>
      </w:tr>
      <w:tr>
        <w:tc>
          <w:tcPr>
            <w:tcW w:type="dxa" w:w="4320"/>
          </w:tcPr>
          <w:p>
            <w:r>
              <w:t>Uncontacted</w:t>
            </w:r>
          </w:p>
        </w:tc>
        <w:tc>
          <w:tcPr>
            <w:tcW w:type="dxa" w:w="4320"/>
          </w:tcPr>
          <w:p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Current Won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Ever qualified</w:t>
            </w:r>
          </w:p>
        </w:tc>
        <w:tc>
          <w:tcPr>
            <w:tcW w:type="dxa" w:w="4320"/>
          </w:tcPr>
          <w:p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Open with scheduled action</w:t>
            </w:r>
          </w:p>
        </w:tc>
        <w:tc>
          <w:tcPr>
            <w:tcW w:type="dxa" w:w="4320"/>
          </w:tcPr>
          <w:p>
            <w:r>
              <w:t>586</w:t>
            </w:r>
          </w:p>
        </w:tc>
      </w:tr>
      <w:tr>
        <w:tc>
          <w:tcPr>
            <w:tcW w:type="dxa" w:w="4320"/>
          </w:tcPr>
          <w:p>
            <w:r>
              <w:t>Overdue follow-up</w:t>
            </w:r>
          </w:p>
        </w:tc>
        <w:tc>
          <w:tcPr>
            <w:tcW w:type="dxa" w:w="4320"/>
          </w:tcPr>
          <w:p>
            <w:r>
              <w:t>411</w:t>
            </w:r>
          </w:p>
        </w:tc>
      </w:tr>
      <w:tr>
        <w:tc>
          <w:tcPr>
            <w:tcW w:type="dxa" w:w="4320"/>
          </w:tcPr>
          <w:p>
            <w:r>
              <w:t>First-response coverage</w:t>
            </w:r>
          </w:p>
        </w:tc>
        <w:tc>
          <w:tcPr>
            <w:tcW w:type="dxa" w:w="4320"/>
          </w:tcPr>
          <w:p>
            <w:r>
              <w:t>75.7%</w:t>
            </w:r>
          </w:p>
        </w:tc>
      </w:tr>
      <w:tr>
        <w:tc>
          <w:tcPr>
            <w:tcW w:type="dxa" w:w="4320"/>
          </w:tcPr>
          <w:p>
            <w:r>
              <w:t>Lead-to-qualified rate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Lead-to-win rate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Overdue / scheduled open</w:t>
            </w:r>
          </w:p>
        </w:tc>
        <w:tc>
          <w:tcPr>
            <w:tcW w:type="dxa" w:w="4320"/>
          </w:tcPr>
          <w:p>
            <w:r>
              <w:t>70.1%</w:t>
            </w:r>
          </w:p>
        </w:tc>
      </w:tr>
      <w:tr>
        <w:tc>
          <w:tcPr>
            <w:tcW w:type="dxa" w:w="4320"/>
          </w:tcPr>
          <w:p>
            <w:r>
              <w:t>Median first response (hours)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Estimated pipeline exposure (INR)</w:t>
            </w:r>
          </w:p>
        </w:tc>
        <w:tc>
          <w:tcPr>
            <w:tcW w:type="dxa" w:w="4320"/>
          </w:tcPr>
          <w:p>
            <w:r>
              <w:t>104,279,000</w:t>
            </w:r>
          </w:p>
        </w:tc>
      </w:tr>
    </w:tbl>
    <w:p>
      <w:pPr>
        <w:pStyle w:val="Heading1"/>
      </w:pPr>
      <w:r>
        <w:t>Findings and recommended actions</w:t>
      </w:r>
    </w:p>
    <w:p>
      <w:pPr>
        <w:pStyle w:val="ListBullet"/>
      </w:pPr>
      <w:r>
        <w:t>Referral has the largest overdue count in this cohort: 94, with INR 23,704,000 estimated exposure. Review cohort age and capacity before changing source spend.</w:t>
      </w:r>
    </w:p>
    <w:p>
      <w:pPr>
        <w:pStyle w:val="ListBullet"/>
      </w:pPr>
      <w:r>
        <w:t>24 overdue leads are unassigned, representing INR 6,390,000 estimated exposure. Owner reminders cannot resolve missing ownership.</w:t>
      </w:r>
    </w:p>
    <w:p>
      <w:pPr>
        <w:pStyle w:val="ListBullet"/>
      </w:pPr>
      <w:r>
        <w:t>Elapsed-hour SLA: 119 met, 637 breached and 2 awaiting within SLA. The response median excludes 184 uncontacted leads.</w:t>
      </w:r>
    </w:p>
    <w:p>
      <w:pPr>
        <w:pStyle w:val="Heading1"/>
      </w:pPr>
      <w:r>
        <w:t>Automation and evidence</w:t>
      </w:r>
    </w:p>
    <w:p>
      <w:r>
        <w:t>Four workflows cover intake, recovery, approval-controlled outbox and status sync. Internal owner reminders are automated; customer-preview approval is manual and bound to exact content/version. External live delivery disabled.</w:t>
      </w:r>
    </w:p>
    <w:p>
      <w:r>
        <w:t>All-time local test ledger (not the selected lead cohort; includes deliberate fault tests):</w:t>
      </w:r>
    </w:p>
    <w:p>
      <w:pPr>
        <w:pStyle w:val="ListBullet"/>
      </w:pPr>
      <w:r>
        <w:t>distinct reminded leads: 386</w:t>
      </w:r>
    </w:p>
    <w:p>
      <w:pPr>
        <w:pStyle w:val="ListBullet"/>
      </w:pPr>
      <w:r>
        <w:t>sink only approvals: 6</w:t>
      </w:r>
    </w:p>
    <w:p>
      <w:pPr>
        <w:pStyle w:val="ListBullet"/>
      </w:pPr>
      <w:r>
        <w:t>smtp accepted by local sink: 13</w:t>
      </w:r>
    </w:p>
    <w:p>
      <w:pPr>
        <w:pStyle w:val="ListBullet"/>
      </w:pPr>
      <w:r>
        <w:t>accepted after retry: 1</w:t>
      </w:r>
    </w:p>
    <w:p>
      <w:pPr>
        <w:pStyle w:val="ListBullet"/>
      </w:pPr>
      <w:r>
        <w:t>failed or uncertain send events: 4</w:t>
      </w:r>
    </w:p>
    <w:p>
      <w:pPr>
        <w:pStyle w:val="Heading1"/>
      </w:pPr>
      <w:r>
        <w:t>Controlled comparison</w:t>
      </w:r>
    </w:p>
    <w:p>
      <w:r>
        <w:t>Manual reviews at hours 12 and 24; hourly automation scan; identical assumed two-hour owner response. No sales or revenue outcome modeled.</w:t>
      </w:r>
    </w:p>
    <w:p>
      <w:r>
        <w:t>Owner actions are predetermined scenario assumptions. Application contact/recovery rules execute locally; n8n/SMTP receipt does not cause the simulated contacts.</w:t>
      </w:r>
    </w:p>
    <w:p>
      <w:pPr>
        <w:pStyle w:val="ListBullet"/>
      </w:pPr>
      <w:r>
        <w:t>manual: 20/40 modeled contacts (50%); 20 incomplete due tasks.</w:t>
      </w:r>
    </w:p>
    <w:p>
      <w:pPr>
        <w:pStyle w:val="ListBullet"/>
      </w:pPr>
      <w:r>
        <w:t>automation: 34/40 modeled contacts (85%); 6 incomplete due tasks.</w:t>
      </w:r>
    </w:p>
    <w:p>
      <w:r>
        <w:t>Raw overdue remains unchanged without next-action rescheduling. Local rule runtime is measured computation, not human time saved.</w:t>
      </w:r>
    </w:p>
    <w:p>
      <w:pPr>
        <w:pStyle w:val="Heading1"/>
      </w:pPr>
      <w:r>
        <w:t>Limits and next measurement</w:t>
      </w:r>
    </w:p>
    <w:p>
      <w:r>
        <w:t>Estimated pipeline exposure is neither recovered nor lost revenue. Current Won includes synthetic fixtures. Source comparisons are descriptive, not causal. Job counts include induced faults and retries; no production reliability or distributed exactly-once claim is made.</w:t>
      </w:r>
    </w:p>
    <w:p>
      <w:r>
        <w:t>A permissioned pilot should measure owner action and rescheduling rates, actual administrative effort, and recurring operating costs before making efficiency or financial claims. Local single-user scope only.</w:t>
      </w:r>
    </w:p>
    <w:p>
      <w:pPr>
        <w:pStyle w:val="Heading1"/>
      </w:pPr>
      <w:r>
        <w:t>Cost / benefit scenario</w:t>
      </w:r>
    </w:p>
    <w:p>
      <w:r>
        <w:t>Illustrative assumptions, not observed savings, cash flow, vendor prices or ROI. Hardware, electricity and licensing costs are not measured; capacity value is not revenue.</w:t>
      </w:r>
    </w:p>
    <w:p>
      <w:r>
        <w:t>Assume 200 actions/month, INR 300/hour capacity value, 24 setup hours, 4 maintenance hours/month, amortized over 12 months. These are editable scenario inputs, not measurements.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Assumed minutes saved/action</w:t>
            </w:r>
          </w:p>
        </w:tc>
        <w:tc>
          <w:tcPr>
            <w:tcW w:type="dxa" w:w="2880"/>
          </w:tcPr>
          <w:p>
            <w:r>
              <w:t>Capacity hours/month</w:t>
            </w:r>
          </w:p>
        </w:tc>
        <w:tc>
          <w:tcPr>
            <w:tcW w:type="dxa" w:w="2880"/>
          </w:tcPr>
          <w:p>
            <w:r>
              <w:t>Net capacity-equivalent INR/month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3.33</w:t>
            </w:r>
          </w:p>
        </w:tc>
        <w:tc>
          <w:tcPr>
            <w:tcW w:type="dxa" w:w="2880"/>
          </w:tcPr>
          <w:p>
            <w:r>
              <w:t>-800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6.67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1,200</w:t>
            </w:r>
          </w:p>
        </w:tc>
      </w:tr>
    </w:tbl>
    <w:p>
      <w:pPr>
        <w:pStyle w:val="Heading1"/>
      </w:pPr>
      <w:r>
        <w:t>Evidence boundaries</w:t>
      </w:r>
    </w:p>
    <w:p>
      <w:r>
        <w:t>Historical Phase 3 evidence: 19 real integration checks. Phase 4 final regression: 51 PostgreSQL tests and 49 SQLite passes/two skips. These historical counts are not newly executed Phase 5 tests. Current report metadata records exact export and screenshot hashes.</w:t>
      </w:r>
    </w:p>
    <w:p>
      <w:r>
        <w:br w:type="page"/>
      </w:r>
    </w:p>
    <w:p>
      <w:pPr>
        <w:pStyle w:val="Heading1"/>
      </w:pPr>
      <w:r>
        <w:t>Working interface evidence</w:t>
      </w:r>
    </w:p>
    <w:p>
      <w:r>
        <w:t>Actual Power BI estimated exposure and workload; matching frozen snapshot.</w:t>
      </w:r>
    </w:p>
    <w:p>
      <w:r>
        <w:drawing>
          <wp:inline xmlns:a="http://schemas.openxmlformats.org/drawingml/2006/main" xmlns:pic="http://schemas.openxmlformats.org/drawingml/2006/picture">
            <wp:extent cx="5577840" cy="298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1d_PowerBI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Power BI local test ledger; includes deliberate failures.</w:t>
      </w:r>
    </w:p>
    <w:p>
      <w:r>
        <w:drawing>
          <wp:inline xmlns:a="http://schemas.openxmlformats.org/drawingml/2006/main" xmlns:pic="http://schemas.openxmlformats.org/drawingml/2006/picture">
            <wp:extent cx="5577840" cy="2987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1a_PowerBI_Work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Power BI modeled 40-event comparison; owner timing assumed.</w:t>
      </w:r>
    </w:p>
    <w:p>
      <w:r>
        <w:drawing>
          <wp:inline xmlns:a="http://schemas.openxmlformats.org/drawingml/2006/main" xmlns:pic="http://schemas.openxmlformats.org/drawingml/2006/picture">
            <wp:extent cx="5577840" cy="2987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1b_PowerBI_Sim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875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3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| 9a80207b950500a9 | d0b3c2463213 | External live delivery disabled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LEADREVIVE  /  REVENUE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D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LeadRevive — Business operations review</dc:title>
  <dc:subject>d0b3c24632131978efcdfa1d8cb57f1d46347e76d109e3a596ef0f8c8084c401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