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E8F"/>
          <w:sz w:val="56"/>
          <w:szCs w:val="56"/>
        </w:rPr>
        <w:t xml:space="preserve">PRAMAAN</w:t>
      </w:r>
    </w:p>
    <w:p>
      <w:pPr>
        <w:spacing w:after="240"/>
      </w:pPr>
      <w:r>
        <w:rPr>
          <w:color w:val="5A5A5A"/>
          <w:sz w:val="26"/>
          <w:szCs w:val="26"/>
        </w:rPr>
        <w:t xml:space="preserve">Product &amp; Implementation Status Report</w:t>
      </w:r>
    </w:p>
    <w:p>
      <w:pPr>
        <w:spacing w:after="40"/>
      </w:pPr>
      <w:r>
        <w:rPr>
          <w:i/>
          <w:iCs/>
          <w:color w:val="5A5A5A"/>
          <w:sz w:val="20"/>
          <w:szCs w:val="20"/>
        </w:rPr>
        <w:t xml:space="preserve">AI-assisted GeM bidder-verification platform for procurement officers (SIH26100)</w:t>
      </w:r>
    </w:p>
    <w:p>
      <w:pPr>
        <w:pBdr>
          <w:bottom w:val="single" w:color="1D4E8F" w:sz="10" w:space="8"/>
        </w:pBdr>
        <w:spacing w:after="300"/>
      </w:pPr>
      <w:r>
        <w:t xml:space="preserve"> </w:t>
      </w:r>
    </w:p>
    <w:p>
      <w:pPr>
        <w:pStyle w:val="Heading1"/>
        <w:pBdr>
          <w:bottom w:val="single" w:color="1D4E8F" w:sz="6" w:space="4"/>
        </w:pBdr>
        <w:spacing w:after="160" w:before="360"/>
      </w:pPr>
      <w:r>
        <w:rPr>
          <w:b/>
          <w:bCs/>
          <w:color w:val="1D4E8F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PRAMAAN is a procurement-officer-facing platform: given a Procurement (a GeM tender opportunity) and its Bidders, an officer uploads each bidder's compliance documents, has them AI-extracted, confirms the extracted facts, and runs verification against a simulated set of government registries (Udyam, GST, PAN/ITR, MCA21, EPFO, ESIC, NSIC, Startup India, OEM Authorization, DigiLocker, Make in India, and Blacklisting/Debarment). The system produces a compliance score, a risk level, and a full evidence trail, and the officer records a final Approve / Reject / Request Clarification decision with a permanent audit history.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Beyond core compliance verification, PRAMAAN includes four supporting engines aimed at the SIH26100 problem statement's broader anti-fraud goals: an Evidence Grounding Guard (never lets unconfirmed AI output become a finding), an Authenticity Scanner (metadata-based document-tampering indicators), a Bidder Network Graph (finds bidders sharing a director, address, or contact detail), and a Collusion Radar (transparent, rule-based bid-pattern indicators). All four are built to prototype scope: real logic over real or officer-entered data, never fabricated results, and never a claim of a confirmed verdict.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The single biggest gap is that every registry check runs against deterministic mock data seeded in this application's own database — no live government API (GSTN, MCA21, EPFO, DigiLocker, etc.) is called anywhere. This is by design for the hackathon/demo scope, but it is the line between “prototype” and “production system,” and is the first thing to flag to anyone evaluating the product as more than a demo.</w:t>
      </w:r>
    </w:p>
    <w:p>
      <w:pPr>
        <w:pStyle w:val="Heading1"/>
        <w:pBdr>
          <w:bottom w:val="single" w:color="1D4E8F" w:sz="6" w:space="4"/>
        </w:pBdr>
        <w:spacing w:after="160" w:before="360"/>
      </w:pPr>
      <w:r>
        <w:rPr>
          <w:b/>
          <w:bCs/>
          <w:color w:val="1D4E8F"/>
          <w:sz w:val="30"/>
          <w:szCs w:val="30"/>
        </w:rPr>
        <w:t xml:space="preserve">2. What PRAMAAN Does — Feature by Feature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2.1 Procurement, Bidder &amp; Submission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Officers create Procurements (a GeM opportunity: title, organization, reference number, category, closing date) and Bidders (legal name, trade name, PAN).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Bidder is deliberately independent of any one Procurement — the same bidder's identity and documents can be reused across multiple tenders it submits against.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BidderSubmission is the join between one Bidder and one Procurement — the actual unit that gets verified, scored, and decided 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Multi-tenant throughout: every Procurement/Bidder/Submission is scoped to the officer's own company/organization account; cross-tenant access is blocked at the service layer, not just the UI.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2.2 Document Upload, AI Extraction &amp; Officer Confirmation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Officers upload bidder documents (PDF, image, DOCX, XLS/XLSX) per compliance category, or leave the category blank for automatic keyword-based classification.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 LLM-based extraction agent reads each document and produces structured, schema-validated fields per category (e.g. Udyam number, GSTIN, CIN, EPFO/ESIC establishment ID).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 extraction alone is never authoritative: an officer must explicitly confirm the extracted fields (optionally correcting them) before they can feed verification — this confirmation gate is the system's core “no unsupported findings” guarantee.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2.3 Compliance Verification Against Simulated Government Registries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13 compliance categories are checked (12 active): Udyam/MSME, GST, PAN/Income-Tax &amp; ITR, MCA21, EPFO, ESIC, Blacklisting/Debarment, NSIC, Startup India (DPIIT), OEM Authorization, DigiLocker cross-check, and Make in India / local-content.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Deterministic, explainable adapters — </w:t>
      </w:r>
      <w:r>
        <w:rPr>
          <w:color w:val="1A1A1A"/>
          <w:sz w:val="21"/>
          <w:szCs w:val="21"/>
        </w:rPr>
        <w:t xml:space="preserve">each category has its own adapter comparing what the bidder declared (manually or via a confirmed document) against a seeded mock registry record, producing VERIFIED / MISMATCH / MISSING / NOT_CLAIMED / NOT_APPLICABLE / CRITICAL_FAIL with a plain-language reason.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PAN mismatches and active blacklisting are treated as non-negotiable CRITICAL_FAIL findings that force the highest risk tier regardless of the numeric score.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Every verification run is insert-only (never overwrites history), so an officer can always see how a bidder's standing changed over time.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2.4 Compliance Score, Risk Level &amp; Officer Decision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deterministic 0–100 compliance score is computed live from the latest verification results, weighted by each category's configured risk weight.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four-tier risk level (low / medium / high / critical) is derived independently of the numeric score via a strict veto hierarchy — a high score can never mask a critical finding.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officer records a final Approve / Reject / Request Clarification decision with a required explanatory note; every decision is kept as permanent, insert-only history (never edited or deleted).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2.5 Evidence Grounding Guard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named, independently testable component that formalizes two invariants: unconfirmed AI extraction can never become verification input, and every finding must have a traceable origin (a confirmed document, or an officer's manual entry).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 officer-facing panel shows, per bidder submission, how many results trace to a confirmed document, how many are manually declared, and how many have no evidence yet.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2.6 Authenticity Scanner (prototype)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Inspects the actual bytes of an uploaded document — PDF metadata (producer/creator software, creation vs. modification date consistency, encryption, page count) via pypdf, and JPEG EXIF metadata (camera vs. editing-software tags) via Pillow.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Returns a short list of named, explainable indicators plus a summary label — “no anomalies detected”, “indicators present”, or “not analyzable” for unsupported file types — and never claims a document is “authentic” or “forged”.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Scan history is preserved (insert-only), so a document can be re-scanned without losing the earlier result.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2.7 Bidder Network Graph (prototype)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plain SQL lookup (no graph database) over four optional bidder fields — registered address, director name, contact email, contact phone — finding other bidders in the same tenant that share a real identifier.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Officers can enter/edit these identifiers directly from the bidder verification screen; a bidder with none on file simply shows no relationships, never a fabricated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Results are always framed as “shares this identifier with” and a reason — never as an accusation.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2.8 Collusion Radar (prototype)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Runs three transparent, rule-based checks against a Procurement's submissions: an unusually narrow spread across bid values, two or more bidders quoting an identical bid amount, and pairs of bidders who have repeatedly co-participated across the same organization's other procurements.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Produces a 0–100 “attention score” and a fixed disclaimer that is always shown with the results; the system is tested to never emit the words “confirmed” or “proven” about collusion anywhere in its output.</w:t>
      </w:r>
    </w:p>
    <w:p>
      <w:pPr>
        <w:pStyle w:val="Heading1"/>
        <w:pBdr>
          <w:bottom w:val="single" w:color="1D4E8F" w:sz="6" w:space="4"/>
        </w:pBdr>
        <w:spacing w:after="160" w:before="360"/>
      </w:pPr>
      <w:r>
        <w:rPr>
          <w:b/>
          <w:bCs/>
          <w:color w:val="1D4E8F"/>
          <w:sz w:val="30"/>
          <w:szCs w:val="30"/>
        </w:rPr>
        <w:t xml:space="preserve">3. Technical Architecture (Snapshot)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Backend: FastAPI + SQLAlchemy + PostgreSQL, with Alembic migrations; a separate, additive SIH domain (Procurement/Bidder/BidderSubmission/BidderDocument/ComplianceCategory/RegistryRecord/VerificationResult/OfficerDecision/AuthenticityScan) that never touches the unrelated original BidOps Tender/Requirement/Capability domain.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Frontend: React + TypeScript + Vite, with a typed API client mirroring every backend schema.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AI: LLM-based document extraction only (OpenAI, with Gemini/Vertex as an alternate provider) — every verification, scoring, and risk decision downstream of extraction is deterministic, rule-based code, not an LLM call.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Storage: local disk in development, Google Cloud Storage-ready for production, behind one backend-agnostic seam.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Testing: 418 backend tests passing (Postgres-flavoured SQLite in-memory harness), including 14 dedicated to the four new engines; frontend type-checks and builds cleanly.</w:t>
      </w:r>
    </w:p>
    <w:p>
      <w:pPr>
        <w:pStyle w:val="Heading1"/>
        <w:pBdr>
          <w:bottom w:val="single" w:color="1D4E8F" w:sz="6" w:space="4"/>
        </w:pBdr>
        <w:spacing w:after="160" w:before="360"/>
      </w:pPr>
      <w:r>
        <w:rPr>
          <w:b/>
          <w:bCs/>
          <w:color w:val="1D4E8F"/>
          <w:sz w:val="30"/>
          <w:szCs w:val="30"/>
        </w:rPr>
        <w:t xml:space="preserve">4. Implementation Status by Capability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620"/>
      </w:tblGrid>
      <w:tr>
        <w:trPr>
          <w:tblHeader/>
        </w:trPr>
        <w:tc>
          <w:tcPr>
            <w:tcW w:type="dxa" w:w="3200"/>
            <w:shd w:fill="1D4E8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900"/>
            <w:shd w:fill="1D4E8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20"/>
            <w:shd w:fill="1D4E8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Procurement / Bidder / Submission CRUD &amp; multi-tenancy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CRUD, tenant isolation enforced server-side.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Document upload + AI extraction + officer confirmation</w:t>
            </w:r>
          </w:p>
        </w:tc>
        <w:tc>
          <w:tcPr>
            <w:tcW w:type="dxa" w:w="19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62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Confirmation gate is the system's core evidence discipline.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Compliance verification (12 active registry categories)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Against deterministic mock registry data, not a live government API.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Compliance score &amp; risk level</w:t>
            </w:r>
          </w:p>
        </w:tc>
        <w:tc>
          <w:tcPr>
            <w:tcW w:type="dxa" w:w="19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62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Deterministic formula; critical findings always veto the score.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Officer decision + audit history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Insert-only; every past decision is retained.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Requirement/category → evidence mapping</w:t>
            </w:r>
          </w:p>
        </w:tc>
        <w:tc>
          <w:tcPr>
            <w:tcW w:type="dxa" w:w="19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62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Existed natively; a grounding-coverage summary was added on top.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Evidence Grounding Guard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Now a named, independently tested component, not just an implicit rule.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Authenticity Scanner</w:t>
            </w:r>
          </w:p>
        </w:tc>
        <w:tc>
          <w:tcPr>
            <w:tcW w:type="dxa" w:w="19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4740E"/>
                <w:sz w:val="19"/>
                <w:szCs w:val="19"/>
              </w:rPr>
              <w:t xml:space="preserve">HEURISTIC-PROTOTYPE</w:t>
            </w:r>
          </w:p>
        </w:tc>
        <w:tc>
          <w:tcPr>
            <w:tcW w:type="dxa" w:w="462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file-metadata inspection; not forensic-grade image/document analysis.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Bidder Network Graph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IMPLEMENTED (minimal)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SQL relationship lookup; requires officer-entered identifiers.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Collusion Radar</w:t>
            </w:r>
          </w:p>
        </w:tc>
        <w:tc>
          <w:tcPr>
            <w:tcW w:type="dxa" w:w="19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4740E"/>
                <w:sz w:val="19"/>
                <w:szCs w:val="19"/>
              </w:rPr>
              <w:t xml:space="preserve">HEURISTIC-PROTOTYPE</w:t>
            </w:r>
          </w:p>
        </w:tc>
        <w:tc>
          <w:tcPr>
            <w:tcW w:type="dxa" w:w="462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Transparent rule-based indicators; never a collusion verdict.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Live government registry integration (GSTN, MCA21, EPFO, DigiLocker, …)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Explicitly out of scope for this prototype — SIH26100 itself calls for simulation.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Dedicated “Procurement Officer” user role</w:t>
            </w:r>
          </w:p>
        </w:tc>
        <w:tc>
          <w:tcPr>
            <w:tcW w:type="dxa" w:w="19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62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existing Administrator role is reused as the closest stand-in.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Bid award / “winner” tracking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field records who won a procurement, so no winner-pattern analytics exist.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Production cloud deployment</w:t>
            </w:r>
          </w:p>
        </w:tc>
        <w:tc>
          <w:tcPr>
            <w:tcW w:type="dxa" w:w="190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62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Runs locally / Docker Compose today; Cloud Run + managed Postgres path is designed but not executed.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Notifications / email or SMS alerts to bidders or officers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outbound notification system exists in this domain.</w:t>
            </w:r>
          </w:p>
        </w:tc>
      </w:tr>
    </w:tbl>
    <w:p>
      <w:pPr>
        <w:pStyle w:val="Heading1"/>
        <w:pBdr>
          <w:bottom w:val="single" w:color="1D4E8F" w:sz="6" w:space="4"/>
        </w:pBdr>
        <w:spacing w:after="160" w:before="360"/>
      </w:pPr>
      <w:r>
        <w:rPr>
          <w:b/>
          <w:bCs/>
          <w:color w:val="1D4E8F"/>
          <w:sz w:val="30"/>
          <w:szCs w:val="30"/>
        </w:rPr>
        <w:t xml:space="preserve">5. What's Missing / Known Limitations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5.1 Data &amp; Integrations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No live government APIs — </w:t>
      </w:r>
      <w:r>
        <w:rPr>
          <w:color w:val="1A1A1A"/>
          <w:sz w:val="21"/>
          <w:szCs w:val="21"/>
        </w:rPr>
        <w:t xml:space="preserve">every registry check (GST, MCA21, EPFO, ESIC, DigiLocker, etc.) reads from data seeded into PRAMAAN's own Postgres, not a real external portal.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No bid-award outcome data — </w:t>
      </w:r>
      <w:r>
        <w:rPr>
          <w:color w:val="1A1A1A"/>
          <w:sz w:val="21"/>
          <w:szCs w:val="21"/>
        </w:rPr>
        <w:t xml:space="preserve">there is no concept of “who won this procurement,” so “repeated winner” pattern analysis — sometimes expected of a collusion-detection feature — is not possible with current data and was deliberately not simulated.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Network Graph and Collusion Radar depend on manual data entry — </w:t>
      </w:r>
      <w:r>
        <w:rPr>
          <w:color w:val="1A1A1A"/>
          <w:sz w:val="21"/>
          <w:szCs w:val="21"/>
        </w:rPr>
        <w:t xml:space="preserve">director/address/contact fields and bid amounts must be entered by an officer; a bidder or submission with nothing on file simply produces no findings, which can under-represent real relationships if data entry is skipped.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5.2 Depth of the Anti-Fraud Engines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Authenticity Scanner is metadata-only — </w:t>
      </w:r>
      <w:r>
        <w:rPr>
          <w:color w:val="1A1A1A"/>
          <w:sz w:val="21"/>
          <w:szCs w:val="21"/>
        </w:rPr>
        <w:t xml:space="preserve">no pixel-level tamper detection, no Error Level Analysis, no ML forgery classifier — it reads document/EXIF metadata, which a sufficiently careful forger could scrub or fake.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Collusion Radar is purely rule-based — </w:t>
      </w:r>
      <w:r>
        <w:rPr>
          <w:color w:val="1A1A1A"/>
          <w:sz w:val="21"/>
          <w:szCs w:val="21"/>
        </w:rPr>
        <w:t xml:space="preserve">no statistical/ML anomaly detection, no cross-procurement price-trend modeling beyond the three implemented heuristics.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Bidder Network Graph has no fuzzy matching — </w:t>
      </w:r>
      <w:r>
        <w:rPr>
          <w:color w:val="1A1A1A"/>
          <w:sz w:val="21"/>
          <w:szCs w:val="21"/>
        </w:rPr>
        <w:t xml:space="preserve">identifiers must match after basic normalization (case, whitespace, phone-digit stripping) — it will not catch, for example, a deliberately misspelled director name or a slightly reformatted address.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5.3 Product &amp; Operations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No dedicated Procurement Officer role — </w:t>
      </w:r>
      <w:r>
        <w:rPr>
          <w:color w:val="1A1A1A"/>
          <w:sz w:val="21"/>
          <w:szCs w:val="21"/>
        </w:rPr>
        <w:t xml:space="preserve">write access is gated behind the existing Administrator role rather than a purpose-built role, flagged as a smallest-safe stand-in rather than a final design.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No notification/workflow automation — </w:t>
      </w:r>
      <w:r>
        <w:rPr>
          <w:color w:val="1A1A1A"/>
          <w:sz w:val="21"/>
          <w:szCs w:val="21"/>
        </w:rPr>
        <w:t xml:space="preserve">an officer must manually check each bidder/procurement; there is no email/SMS/queue-based alerting for new critical findings.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Not yet deployed to production — </w:t>
      </w:r>
      <w:r>
        <w:rPr>
          <w:color w:val="1A1A1A"/>
          <w:sz w:val="21"/>
          <w:szCs w:val="21"/>
        </w:rPr>
        <w:t xml:space="preserve">the application runs against local Docker Postgres today; a Cloud Run + managed database path has been designed (see prior deployment planning) but not executed.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No end-to-end UI automation tests — </w:t>
      </w:r>
      <w:r>
        <w:rPr>
          <w:color w:val="1A1A1A"/>
          <w:sz w:val="21"/>
          <w:szCs w:val="21"/>
        </w:rPr>
        <w:t xml:space="preserve">backend coverage is strong (418 tests); the frontend has type-checking and manual scenario walkthroughs but no automated browser test suite yet.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5.4 Honest Framing for External Use</w:t>
      </w:r>
    </w:p>
    <w:p>
      <w:pPr>
        <w:spacing w:after="40" w:line="300"/>
      </w:pPr>
      <w:r>
        <w:rPr>
          <w:i w:val="false"/>
          <w:iCs w:val="false"/>
          <w:color w:val="1A1A1A"/>
          <w:sz w:val="21"/>
          <w:szCs w:val="21"/>
        </w:rPr>
        <w:t xml:space="preserve">If this system is presented to judges, partners, or a real procurement office, the Authenticity Scanner and Collusion Radar should always be described as prototype-grade, officer-assistive indicators — never as “AI-powered fraud detection” or “forensic verification.” Every output already carries wording enforcing this (disclaimers, non-forensic labels, no “confirmed” language), and that framing should be preserved in any pitch material describing the product.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2026-09-01T16:23:05.947Z</dcterms:created>
  <dcterms:modified xsi:type="dcterms:W3CDTF">2026-09-01T16:23:05.947Z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