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mbria" w:hAnsi="Cambria"/>
          <w:b/>
          <w:i w:val="0"/>
          <w:color w:val="0C1A2E"/>
          <w:sz w:val="56"/>
        </w:rPr>
        <w:t>TachyonIQ / UADA</w:t>
      </w:r>
    </w:p>
    <w:p>
      <w:pPr>
        <w:spacing w:after="120"/>
        <w:jc w:val="center"/>
      </w:pPr>
      <w:r>
        <w:rPr>
          <w:rFonts w:ascii="Calibri" w:hAnsi="Calibri"/>
          <w:b w:val="0"/>
          <w:i/>
          <w:color w:val="3B8BEB"/>
          <w:sz w:val="28"/>
        </w:rPr>
        <w:t>Universal Analytical Data Assistant</w:t>
      </w:r>
    </w:p>
    <w:p>
      <w:pPr>
        <w:spacing w:after="80"/>
        <w:jc w:val="center"/>
      </w:pPr>
      <w:r>
        <w:rPr>
          <w:rFonts w:ascii="Calibri" w:hAnsi="Calibri"/>
          <w:b w:val="0"/>
          <w:i w:val="0"/>
          <w:color w:val="445A7A"/>
          <w:sz w:val="22"/>
        </w:rPr>
        <w:t>Requirements · Technology Stack · Architecture · Use Cases</w:t>
      </w:r>
    </w:p>
    <w:p>
      <w:pPr>
        <w:spacing w:after="40"/>
        <w:jc w:val="center"/>
      </w:pPr>
      <w:r>
        <w:rPr>
          <w:rFonts w:ascii="Calibri" w:hAnsi="Calibri"/>
          <w:b w:val="0"/>
          <w:i w:val="0"/>
          <w:color w:val="445A7A"/>
          <w:sz w:val="20"/>
        </w:rPr>
        <w:t>Version 1.0  ·  September 2026  ·  Tachyontech</w:t>
      </w:r>
    </w:p>
    <w:p>
      <w:pPr>
        <w:jc w:val="center"/>
      </w:pPr>
      <w:r>
        <w:rPr>
          <w:rFonts w:ascii="Calibri" w:hAnsi="Calibri"/>
          <w:b w:val="0"/>
          <w:i w:val="0"/>
          <w:color w:val="445A7A"/>
          <w:sz w:val="20"/>
        </w:rPr>
        <w:t>Author: Shivam Kumar  ·  shivam.kumar@tachyontech.com</w:t>
      </w:r>
    </w:p>
    <w:p/>
    <w:p>
      <w:r>
        <w:br w:type="page"/>
      </w:r>
    </w:p>
    <w:p>
      <w:pPr>
        <w:spacing w:before="360" w:after="80"/>
        <w:pBdr>
          <w:left w:val="single" w:sz="24" w:color="00C896" w:space="8"/>
        </w:pBdr>
        <w:ind w:left="216"/>
      </w:pPr>
      <w:r>
        <w:rPr>
          <w:rFonts w:ascii="Cambria" w:hAnsi="Cambria"/>
          <w:b/>
          <w:i w:val="0"/>
          <w:color w:val="0C1A2E"/>
          <w:sz w:val="30"/>
        </w:rPr>
        <w:t>1. Executive Overview</w:t>
      </w:r>
    </w:p>
    <w:p>
      <w:pPr>
        <w:spacing w:before="40" w:after="80"/>
      </w:pPr>
      <w:r>
        <w:rPr>
          <w:rFonts w:ascii="Calibri" w:hAnsi="Calibri"/>
          <w:b w:val="0"/>
          <w:i w:val="0"/>
          <w:color w:val="1A2A42"/>
          <w:sz w:val="20"/>
        </w:rPr>
        <w:t>TachyonIQ -- built on the UADA (Universal Analytical Data Assistant) framework -- is a conversational analytics platform that enables business users and analysts to interrogate enterprise databases using plain English. Unlike conventional BI tools that require SQL proficiency or pre-built dashboards, TachyonIQ combines a large-language model reasoning layer with deterministic statistical engines, a 9-layer validation pipeline, and an Evidence Graph to deliver statistically grounded, reproducible answers directly connected to source data.</w:t>
      </w:r>
    </w:p>
    <w:p>
      <w:pPr>
        <w:spacing w:before="40" w:after="80"/>
      </w:pPr>
      <w:r>
        <w:rPr>
          <w:rFonts w:ascii="Calibri" w:hAnsi="Calibri"/>
          <w:b w:val="0"/>
          <w:i w:val="0"/>
          <w:color w:val="1A2A42"/>
          <w:sz w:val="20"/>
        </w:rPr>
        <w:t>The platform targets organisations that own structured relational or columnar data stores and need to democratise analytical access without compromising data integrity, security, or auditability. Every result is traceable from the natural-language question through the SQL or Python calculation all the way back to the database row -- making TachyonIQ suitable for regulated industries where evidence chains are mandatory.</w:t>
      </w:r>
    </w:p>
    <w:p>
      <w:pPr>
        <w:spacing w:before="240" w:after="60"/>
      </w:pPr>
      <w:r>
        <w:rPr>
          <w:rFonts w:ascii="Cambria" w:hAnsi="Cambria"/>
          <w:b/>
          <w:i w:val="0"/>
          <w:color w:val="3B8BEB"/>
          <w:sz w:val="24"/>
        </w:rPr>
        <w:t>Key Value Propositions</w:t>
      </w:r>
    </w:p>
    <w:p>
      <w:pPr>
        <w:pStyle w:val="ListBullet"/>
        <w:spacing w:before="20" w:after="20"/>
        <w:ind w:left="360"/>
      </w:pPr>
      <w:r>
        <w:rPr>
          <w:rFonts w:ascii="Calibri" w:hAnsi="Calibri"/>
          <w:b w:val="0"/>
          <w:i w:val="0"/>
          <w:color w:val="1A2A42"/>
          <w:sz w:val="20"/>
        </w:rPr>
        <w:t>Natural-language to SQL/Python with no manual query authoring</w:t>
      </w:r>
    </w:p>
    <w:p>
      <w:pPr>
        <w:pStyle w:val="ListBullet"/>
        <w:spacing w:before="20" w:after="20"/>
        <w:ind w:left="360"/>
      </w:pPr>
      <w:r>
        <w:rPr>
          <w:rFonts w:ascii="Calibri" w:hAnsi="Calibri"/>
          <w:b w:val="0"/>
          <w:i w:val="0"/>
          <w:color w:val="1A2A42"/>
          <w:sz w:val="20"/>
        </w:rPr>
        <w:t>Evidence-backed insights -- every claim linked to a statistical test and source data</w:t>
      </w:r>
    </w:p>
    <w:p>
      <w:pPr>
        <w:pStyle w:val="ListBullet"/>
        <w:spacing w:before="20" w:after="20"/>
        <w:ind w:left="360"/>
      </w:pPr>
      <w:r>
        <w:rPr>
          <w:rFonts w:ascii="Calibri" w:hAnsi="Calibri"/>
          <w:b w:val="0"/>
          <w:i w:val="0"/>
          <w:color w:val="1A2A42"/>
          <w:sz w:val="20"/>
        </w:rPr>
        <w:t>Multi-database support: PostgreSQL, Snowflake, BigQuery, MySQL, SQL Server, DuckDB, Redshift</w:t>
      </w:r>
    </w:p>
    <w:p>
      <w:pPr>
        <w:pStyle w:val="ListBullet"/>
        <w:spacing w:before="20" w:after="20"/>
        <w:ind w:left="360"/>
      </w:pPr>
      <w:r>
        <w:rPr>
          <w:rFonts w:ascii="Calibri" w:hAnsi="Calibri"/>
          <w:b w:val="0"/>
          <w:i w:val="0"/>
          <w:color w:val="1A2A42"/>
          <w:sz w:val="20"/>
        </w:rPr>
        <w:t>Automatic database onboarding -- schema discovery, metric inference, semantic enrichment in 8 steps</w:t>
      </w:r>
    </w:p>
    <w:p>
      <w:pPr>
        <w:pStyle w:val="ListBullet"/>
        <w:spacing w:before="20" w:after="20"/>
        <w:ind w:left="360"/>
      </w:pPr>
      <w:r>
        <w:rPr>
          <w:rFonts w:ascii="Calibri" w:hAnsi="Calibri"/>
          <w:b w:val="0"/>
          <w:i w:val="0"/>
          <w:color w:val="1A2A42"/>
          <w:sz w:val="20"/>
        </w:rPr>
        <w:t>Budget-bounded investigation -- no runaway LLM loops; deterministic cost control</w:t>
      </w:r>
    </w:p>
    <w:p>
      <w:pPr>
        <w:pStyle w:val="ListBullet"/>
        <w:spacing w:before="20" w:after="20"/>
        <w:ind w:left="360"/>
      </w:pPr>
      <w:r>
        <w:rPr>
          <w:rFonts w:ascii="Calibri" w:hAnsi="Calibri"/>
          <w:b w:val="0"/>
          <w:i w:val="0"/>
          <w:color w:val="1A2A42"/>
          <w:sz w:val="20"/>
        </w:rPr>
        <w:t>Enterprise security -- AST-validated SQL, RBAC, RLS, column-level security, credential isolation</w:t>
      </w:r>
    </w:p>
    <w:p>
      <w:pPr>
        <w:spacing w:before="120" w:after="120"/>
        <w:pBdr>
          <w:bottom w:val="single" w:sz="4" w:color="D0D8E8"/>
        </w:pBdr>
      </w:pPr>
    </w:p>
    <w:p>
      <w:pPr>
        <w:spacing w:before="360" w:after="80"/>
        <w:pBdr>
          <w:left w:val="single" w:sz="24" w:color="00C896" w:space="8"/>
        </w:pBdr>
        <w:ind w:left="216"/>
      </w:pPr>
      <w:r>
        <w:rPr>
          <w:rFonts w:ascii="Cambria" w:hAnsi="Cambria"/>
          <w:b/>
          <w:i w:val="0"/>
          <w:color w:val="0C1A2E"/>
          <w:sz w:val="30"/>
        </w:rPr>
        <w:t>2. Requirements</w:t>
      </w:r>
    </w:p>
    <w:p>
      <w:pPr>
        <w:spacing w:before="240" w:after="60"/>
      </w:pPr>
      <w:r>
        <w:rPr>
          <w:rFonts w:ascii="Cambria" w:hAnsi="Cambria"/>
          <w:b/>
          <w:i w:val="0"/>
          <w:color w:val="3B8BEB"/>
          <w:sz w:val="24"/>
        </w:rPr>
        <w:t>2.1 Functional Requirements</w:t>
      </w:r>
    </w:p>
    <w:p>
      <w:pPr>
        <w:spacing w:before="160" w:after="40"/>
      </w:pPr>
      <w:r>
        <w:rPr>
          <w:rFonts w:ascii="Calibri" w:hAnsi="Calibri"/>
          <w:b/>
          <w:i w:val="0"/>
          <w:color w:val="1A2A42"/>
          <w:sz w:val="21"/>
        </w:rPr>
        <w:t>FR-01 -- Natural Language Query Interface</w:t>
      </w:r>
    </w:p>
    <w:p>
      <w:pPr>
        <w:spacing w:before="40" w:after="80"/>
      </w:pPr>
      <w:r>
        <w:rPr>
          <w:rFonts w:ascii="Calibri" w:hAnsi="Calibri"/>
          <w:b w:val="0"/>
          <w:i w:val="0"/>
          <w:color w:val="1A2A42"/>
          <w:sz w:val="20"/>
        </w:rPr>
        <w:t>Users must be able to type business questions in plain English. The system shall parse intent, extract metrics, dimensions, filters, and time windows, and translate these into one or more analytical operations without user knowledge of SQL or schema names.</w:t>
      </w:r>
    </w:p>
    <w:p>
      <w:pPr>
        <w:spacing w:before="160" w:after="40"/>
      </w:pPr>
      <w:r>
        <w:rPr>
          <w:rFonts w:ascii="Calibri" w:hAnsi="Calibri"/>
          <w:b/>
          <w:i w:val="0"/>
          <w:color w:val="1A2A42"/>
          <w:sz w:val="21"/>
        </w:rPr>
        <w:t>FR-02 -- Multi-Database Connectivity</w:t>
      </w:r>
    </w:p>
    <w:p>
      <w:pPr>
        <w:spacing w:before="40" w:after="80"/>
      </w:pPr>
      <w:r>
        <w:rPr>
          <w:rFonts w:ascii="Calibri" w:hAnsi="Calibri"/>
          <w:b w:val="0"/>
          <w:i w:val="0"/>
          <w:color w:val="1A2A42"/>
          <w:sz w:val="20"/>
        </w:rPr>
        <w:t>The system shall connect to PostgreSQL, Snowflake, BigQuery, MySQL, SQL Server, DuckDB, SQLite, and Redshift through a unified Database Abstraction Layer. Dialect-specific SQL shall be generated transparently via SQLGlot transpilation.</w:t>
      </w:r>
    </w:p>
    <w:p>
      <w:pPr>
        <w:spacing w:before="160" w:after="40"/>
      </w:pPr>
      <w:r>
        <w:rPr>
          <w:rFonts w:ascii="Calibri" w:hAnsi="Calibri"/>
          <w:b/>
          <w:i w:val="0"/>
          <w:color w:val="1A2A42"/>
          <w:sz w:val="21"/>
        </w:rPr>
        <w:t>FR-03 -- Automatic Schema Onboarding</w:t>
      </w:r>
    </w:p>
    <w:p>
      <w:pPr>
        <w:spacing w:before="40" w:after="80"/>
      </w:pPr>
      <w:r>
        <w:rPr>
          <w:rFonts w:ascii="Calibri" w:hAnsi="Calibri"/>
          <w:b w:val="0"/>
          <w:i w:val="0"/>
          <w:color w:val="1A2A42"/>
          <w:sz w:val="20"/>
        </w:rPr>
        <w:t>Upon connecting a new data source, the system shall automatically introspect tables, infer primary/foreign keys, detect join relationships, profile column distributions, infer business grain, and generate a semantic layer -- requiring only a human approval step before publishing.</w:t>
      </w:r>
    </w:p>
    <w:p>
      <w:pPr>
        <w:spacing w:before="160" w:after="40"/>
      </w:pPr>
      <w:r>
        <w:rPr>
          <w:rFonts w:ascii="Calibri" w:hAnsi="Calibri"/>
          <w:b/>
          <w:i w:val="0"/>
          <w:color w:val="1A2A42"/>
          <w:sz w:val="21"/>
        </w:rPr>
        <w:t>FR-04 -- Analytical Operations</w:t>
      </w:r>
    </w:p>
    <w:p>
      <w:pPr>
        <w:spacing w:before="40" w:after="80"/>
      </w:pPr>
      <w:r>
        <w:rPr>
          <w:rFonts w:ascii="Calibri" w:hAnsi="Calibri"/>
          <w:b w:val="0"/>
          <w:i w:val="0"/>
          <w:color w:val="1A2A42"/>
          <w:sz w:val="20"/>
        </w:rPr>
        <w:t>The system shall support: metric aggregation with group-by; time-series analysis; period-over-period comparison; cohort analysis; correlation and regression; statistical hypothesis testing with p-values and confidence intervals; anomaly detection; forecasting; root-cause analysis; and data quality assessment.</w:t>
      </w:r>
    </w:p>
    <w:p>
      <w:pPr>
        <w:spacing w:before="160" w:after="40"/>
      </w:pPr>
      <w:r>
        <w:rPr>
          <w:rFonts w:ascii="Calibri" w:hAnsi="Calibri"/>
          <w:b/>
          <w:i w:val="0"/>
          <w:color w:val="1A2A42"/>
          <w:sz w:val="21"/>
        </w:rPr>
        <w:t>FR-05 -- Investigation Agent</w:t>
      </w:r>
    </w:p>
    <w:p>
      <w:pPr>
        <w:spacing w:before="40" w:after="80"/>
      </w:pPr>
      <w:r>
        <w:rPr>
          <w:rFonts w:ascii="Calibri" w:hAnsi="Calibri"/>
          <w:b w:val="0"/>
          <w:i w:val="0"/>
          <w:color w:val="1A2A42"/>
          <w:sz w:val="20"/>
        </w:rPr>
        <w:t>For complex, multi-step questions, the system shall execute a bounded investigation loop (Observe → Understand → Plan → Act → Observe Result → Critique → Replan → Verify → Respond) with configurable step, token, and time budgets. The agent shall replan autonomously when intermediate results fail validation.</w:t>
      </w:r>
    </w:p>
    <w:p>
      <w:pPr>
        <w:spacing w:before="160" w:after="40"/>
      </w:pPr>
      <w:r>
        <w:rPr>
          <w:rFonts w:ascii="Calibri" w:hAnsi="Calibri"/>
          <w:b/>
          <w:i w:val="0"/>
          <w:color w:val="1A2A42"/>
          <w:sz w:val="21"/>
        </w:rPr>
        <w:t>FR-06 -- Evidence Graph</w:t>
      </w:r>
    </w:p>
    <w:p>
      <w:pPr>
        <w:spacing w:before="40" w:after="80"/>
      </w:pPr>
      <w:r>
        <w:rPr>
          <w:rFonts w:ascii="Calibri" w:hAnsi="Calibri"/>
          <w:b w:val="0"/>
          <w:i w:val="0"/>
          <w:color w:val="1A2A42"/>
          <w:sz w:val="20"/>
        </w:rPr>
        <w:t>Every analytical claim in a response shall be backed by a node in the Evidence Graph containing: the source SQL, Python calculation, statistical test method, p-value, confidence interval, effect size, code hash, and a reproducibility flag. Users can inspect any claim's evidence chain.</w:t>
      </w:r>
    </w:p>
    <w:p>
      <w:pPr>
        <w:spacing w:before="160" w:after="40"/>
      </w:pPr>
      <w:r>
        <w:rPr>
          <w:rFonts w:ascii="Calibri" w:hAnsi="Calibri"/>
          <w:b/>
          <w:i w:val="0"/>
          <w:color w:val="1A2A42"/>
          <w:sz w:val="21"/>
        </w:rPr>
        <w:t>FR-07 -- Multi-Layer Validation</w:t>
      </w:r>
    </w:p>
    <w:p>
      <w:pPr>
        <w:spacing w:before="40" w:after="80"/>
      </w:pPr>
      <w:r>
        <w:rPr>
          <w:rFonts w:ascii="Calibri" w:hAnsi="Calibri"/>
          <w:b w:val="0"/>
          <w:i w:val="0"/>
          <w:color w:val="1A2A42"/>
          <w:sz w:val="20"/>
        </w:rPr>
        <w:t>SQL and analytical results shall pass 9 independent validation layers before reaching the user: (L1) security/AST policy, (L2) SQL syntax, (L3) semantic intent alignment, (L4) business intent conformance, (L5) join correctness and cardinality, (L6) result shape and type checking, (L7) statistical validity, (L8) evidence sufficiency, (L9) reproducibility check.</w:t>
      </w:r>
    </w:p>
    <w:p>
      <w:pPr>
        <w:spacing w:before="160" w:after="40"/>
      </w:pPr>
      <w:r>
        <w:rPr>
          <w:rFonts w:ascii="Calibri" w:hAnsi="Calibri"/>
          <w:b/>
          <w:i w:val="0"/>
          <w:color w:val="1A2A42"/>
          <w:sz w:val="21"/>
        </w:rPr>
        <w:t>FR-08 -- Visualisation</w:t>
      </w:r>
    </w:p>
    <w:p>
      <w:pPr>
        <w:spacing w:before="40" w:after="80"/>
      </w:pPr>
      <w:r>
        <w:rPr>
          <w:rFonts w:ascii="Calibri" w:hAnsi="Calibri"/>
          <w:b w:val="0"/>
          <w:i w:val="0"/>
          <w:color w:val="1A2A42"/>
          <w:sz w:val="20"/>
        </w:rPr>
        <w:t>The system shall automatically select and render appropriate chart types (line, bar, scatter, heatmap, funnel) based on the detected analytical type and result schema, using Vega-Lite specifications. Visualisations shall honour dark and light themes.</w:t>
      </w:r>
    </w:p>
    <w:p>
      <w:pPr>
        <w:spacing w:before="160" w:after="40"/>
      </w:pPr>
      <w:r>
        <w:rPr>
          <w:rFonts w:ascii="Calibri" w:hAnsi="Calibri"/>
          <w:b/>
          <w:i w:val="0"/>
          <w:color w:val="1A2A42"/>
          <w:sz w:val="21"/>
        </w:rPr>
        <w:t>FR-09 -- Conversation Continuity</w:t>
      </w:r>
    </w:p>
    <w:p>
      <w:pPr>
        <w:spacing w:before="40" w:after="80"/>
      </w:pPr>
      <w:r>
        <w:rPr>
          <w:rFonts w:ascii="Calibri" w:hAnsi="Calibri"/>
          <w:b w:val="0"/>
          <w:i w:val="0"/>
          <w:color w:val="1A2A42"/>
          <w:sz w:val="20"/>
        </w:rPr>
        <w:t>The system shall maintain structured analytical state across turns -- preserving active metrics, applied filters, selected time windows, and evidence nodes -- enabling natural follow-up questions without repeating context.</w:t>
      </w:r>
    </w:p>
    <w:p>
      <w:pPr>
        <w:spacing w:before="160" w:after="40"/>
      </w:pPr>
      <w:r>
        <w:rPr>
          <w:rFonts w:ascii="Calibri" w:hAnsi="Calibri"/>
          <w:b/>
          <w:i w:val="0"/>
          <w:color w:val="1A2A42"/>
          <w:sz w:val="21"/>
        </w:rPr>
        <w:t>FR-10 -- Security Controls</w:t>
      </w:r>
    </w:p>
    <w:p>
      <w:pPr>
        <w:spacing w:before="40" w:after="80"/>
      </w:pPr>
      <w:r>
        <w:rPr>
          <w:rFonts w:ascii="Calibri" w:hAnsi="Calibri"/>
          <w:b w:val="0"/>
          <w:i w:val="0"/>
          <w:color w:val="1A2A42"/>
          <w:sz w:val="20"/>
        </w:rPr>
        <w:t>The system shall enforce: SQL AST-based policy validation before every execution attempt (CRITICAL INVARIANT -- never bypassed); row-level security and column-level security from the semantic model; credential isolation (no credentials in logs, prompts, or responses); RBAC on all API endpoints.</w:t>
      </w:r>
    </w:p>
    <w:p>
      <w:pPr>
        <w:spacing w:before="240" w:after="60"/>
      </w:pPr>
      <w:r>
        <w:rPr>
          <w:rFonts w:ascii="Cambria" w:hAnsi="Cambria"/>
          <w:b/>
          <w:i w:val="0"/>
          <w:color w:val="3B8BEB"/>
          <w:sz w:val="24"/>
        </w:rPr>
        <w:t>2.2 Non-Functional Requirements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0C1A2E"/>
            <w:vAlign w:val="center"/>
          </w:tcPr>
          <w:p>
            <w:pPr>
              <w:spacing w:before="60" w:after="60"/>
            </w:pPr>
            <w:r>
              <w:rPr>
                <w:rFonts w:ascii="Calibri" w:hAnsi="Calibri"/>
                <w:b/>
                <w:i w:val="0"/>
                <w:color w:val="FFFFFF"/>
                <w:sz w:val="19"/>
              </w:rPr>
              <w:t>Requirement</w:t>
            </w:r>
          </w:p>
        </w:tc>
        <w:tc>
          <w:tcPr>
            <w:tcW w:type="dxa" w:w="3456"/>
            <w:shd w:val="clear" w:color="auto" w:fill="0C1A2E"/>
            <w:vAlign w:val="center"/>
          </w:tcPr>
          <w:p>
            <w:pPr>
              <w:spacing w:before="60" w:after="60"/>
            </w:pPr>
            <w:r>
              <w:rPr>
                <w:rFonts w:ascii="Calibri" w:hAnsi="Calibri"/>
                <w:b/>
                <w:i w:val="0"/>
                <w:color w:val="FFFFFF"/>
                <w:sz w:val="19"/>
              </w:rPr>
              <w:t>Target</w:t>
            </w:r>
          </w:p>
        </w:tc>
        <w:tc>
          <w:tcPr>
            <w:tcW w:type="dxa" w:w="3600"/>
            <w:shd w:val="clear" w:color="auto" w:fill="0C1A2E"/>
            <w:vAlign w:val="center"/>
          </w:tcPr>
          <w:p>
            <w:pPr>
              <w:spacing w:before="60" w:after="60"/>
            </w:pPr>
            <w:r>
              <w:rPr>
                <w:rFonts w:ascii="Calibri" w:hAnsi="Calibri"/>
                <w:b/>
                <w:i w:val="0"/>
                <w:color w:val="FFFFFF"/>
                <w:sz w:val="19"/>
              </w:rPr>
              <w:t>Enforcement</w:t>
            </w:r>
          </w:p>
        </w:tc>
      </w:tr>
      <w:tr>
        <w:tc>
          <w:tcPr>
            <w:tcW w:type="dxa" w:w="3024"/>
            <w:shd w:val="clear" w:color="auto" w:fill="F0F4FA"/>
            <w:vAlign w:val="center"/>
          </w:tcPr>
          <w:p>
            <w:pPr>
              <w:spacing w:before="40" w:after="40"/>
            </w:pPr>
            <w:r>
              <w:rPr>
                <w:rFonts w:ascii="Calibri" w:hAnsi="Calibri"/>
                <w:b w:val="0"/>
                <w:i w:val="0"/>
                <w:color w:val="1A2A42"/>
                <w:sz w:val="19"/>
              </w:rPr>
              <w:t>Response latency (P50)</w:t>
            </w:r>
          </w:p>
        </w:tc>
        <w:tc>
          <w:tcPr>
            <w:tcW w:type="dxa" w:w="3024"/>
            <w:shd w:val="clear" w:color="auto" w:fill="F0F4FA"/>
            <w:vAlign w:val="center"/>
          </w:tcPr>
          <w:p>
            <w:pPr>
              <w:spacing w:before="40" w:after="40"/>
            </w:pPr>
            <w:r>
              <w:rPr>
                <w:rFonts w:ascii="Calibri" w:hAnsi="Calibri"/>
                <w:b w:val="0"/>
                <w:i w:val="0"/>
                <w:color w:val="1A2A42"/>
                <w:sz w:val="19"/>
              </w:rPr>
              <w:t>&lt; 3 seconds for SIMPLE tier</w:t>
            </w:r>
          </w:p>
        </w:tc>
        <w:tc>
          <w:tcPr>
            <w:tcW w:type="dxa" w:w="3024"/>
            <w:shd w:val="clear" w:color="auto" w:fill="F0F4FA"/>
            <w:vAlign w:val="center"/>
          </w:tcPr>
          <w:p>
            <w:pPr>
              <w:spacing w:before="40" w:after="40"/>
            </w:pPr>
            <w:r>
              <w:rPr>
                <w:rFonts w:ascii="Calibri" w:hAnsi="Calibri"/>
                <w:b w:val="0"/>
                <w:i w:val="0"/>
                <w:color w:val="1A2A42"/>
                <w:sz w:val="19"/>
              </w:rPr>
              <w:t>Complexity Router fast path</w:t>
            </w:r>
          </w:p>
        </w:tc>
      </w:tr>
      <w:tr>
        <w:tc>
          <w:tcPr>
            <w:tcW w:type="dxa" w:w="3024"/>
            <w:shd w:val="clear" w:color="auto" w:fill="FFFFFF"/>
            <w:vAlign w:val="center"/>
          </w:tcPr>
          <w:p>
            <w:pPr>
              <w:spacing w:before="40" w:after="40"/>
            </w:pPr>
            <w:r>
              <w:rPr>
                <w:rFonts w:ascii="Calibri" w:hAnsi="Calibri"/>
                <w:b w:val="0"/>
                <w:i w:val="0"/>
                <w:color w:val="1A2A42"/>
                <w:sz w:val="19"/>
              </w:rPr>
              <w:t>Response latency (P95)</w:t>
            </w:r>
          </w:p>
        </w:tc>
        <w:tc>
          <w:tcPr>
            <w:tcW w:type="dxa" w:w="3024"/>
            <w:shd w:val="clear" w:color="auto" w:fill="FFFFFF"/>
            <w:vAlign w:val="center"/>
          </w:tcPr>
          <w:p>
            <w:pPr>
              <w:spacing w:before="40" w:after="40"/>
            </w:pPr>
            <w:r>
              <w:rPr>
                <w:rFonts w:ascii="Calibri" w:hAnsi="Calibri"/>
                <w:b w:val="0"/>
                <w:i w:val="0"/>
                <w:color w:val="1A2A42"/>
                <w:sz w:val="19"/>
              </w:rPr>
              <w:t>&lt; 15 seconds for COMPLEX tier</w:t>
            </w:r>
          </w:p>
        </w:tc>
        <w:tc>
          <w:tcPr>
            <w:tcW w:type="dxa" w:w="3024"/>
            <w:shd w:val="clear" w:color="auto" w:fill="FFFFFF"/>
            <w:vAlign w:val="center"/>
          </w:tcPr>
          <w:p>
            <w:pPr>
              <w:spacing w:before="40" w:after="40"/>
            </w:pPr>
            <w:r>
              <w:rPr>
                <w:rFonts w:ascii="Calibri" w:hAnsi="Calibri"/>
                <w:b w:val="0"/>
                <w:i w:val="0"/>
                <w:color w:val="1A2A42"/>
                <w:sz w:val="19"/>
              </w:rPr>
              <w:t>Investigation budget timeout</w:t>
            </w:r>
          </w:p>
        </w:tc>
      </w:tr>
      <w:tr>
        <w:tc>
          <w:tcPr>
            <w:tcW w:type="dxa" w:w="3024"/>
            <w:shd w:val="clear" w:color="auto" w:fill="F0F4FA"/>
            <w:vAlign w:val="center"/>
          </w:tcPr>
          <w:p>
            <w:pPr>
              <w:spacing w:before="40" w:after="40"/>
            </w:pPr>
            <w:r>
              <w:rPr>
                <w:rFonts w:ascii="Calibri" w:hAnsi="Calibri"/>
                <w:b w:val="0"/>
                <w:i w:val="0"/>
                <w:color w:val="1A2A42"/>
                <w:sz w:val="19"/>
              </w:rPr>
              <w:t>SQL execution timeout</w:t>
            </w:r>
          </w:p>
        </w:tc>
        <w:tc>
          <w:tcPr>
            <w:tcW w:type="dxa" w:w="3024"/>
            <w:shd w:val="clear" w:color="auto" w:fill="F0F4FA"/>
            <w:vAlign w:val="center"/>
          </w:tcPr>
          <w:p>
            <w:pPr>
              <w:spacing w:before="40" w:after="40"/>
            </w:pPr>
            <w:r>
              <w:rPr>
                <w:rFonts w:ascii="Calibri" w:hAnsi="Calibri"/>
                <w:b w:val="0"/>
                <w:i w:val="0"/>
                <w:color w:val="1A2A42"/>
                <w:sz w:val="19"/>
              </w:rPr>
              <w:t>30 s application + DB-level timeout</w:t>
            </w:r>
          </w:p>
        </w:tc>
        <w:tc>
          <w:tcPr>
            <w:tcW w:type="dxa" w:w="3024"/>
            <w:shd w:val="clear" w:color="auto" w:fill="F0F4FA"/>
            <w:vAlign w:val="center"/>
          </w:tcPr>
          <w:p>
            <w:pPr>
              <w:spacing w:before="40" w:after="40"/>
            </w:pPr>
            <w:r>
              <w:rPr>
                <w:rFonts w:ascii="Calibri" w:hAnsi="Calibri"/>
                <w:b w:val="0"/>
                <w:i w:val="0"/>
                <w:color w:val="1A2A42"/>
                <w:sz w:val="19"/>
              </w:rPr>
              <w:t>asyncio + statement_timeout</w:t>
            </w:r>
          </w:p>
        </w:tc>
      </w:tr>
      <w:tr>
        <w:tc>
          <w:tcPr>
            <w:tcW w:type="dxa" w:w="3024"/>
            <w:shd w:val="clear" w:color="auto" w:fill="FFFFFF"/>
            <w:vAlign w:val="center"/>
          </w:tcPr>
          <w:p>
            <w:pPr>
              <w:spacing w:before="40" w:after="40"/>
            </w:pPr>
            <w:r>
              <w:rPr>
                <w:rFonts w:ascii="Calibri" w:hAnsi="Calibri"/>
                <w:b w:val="0"/>
                <w:i w:val="0"/>
                <w:color w:val="1A2A42"/>
                <w:sz w:val="19"/>
              </w:rPr>
              <w:t>Concurrency</w:t>
            </w:r>
          </w:p>
        </w:tc>
        <w:tc>
          <w:tcPr>
            <w:tcW w:type="dxa" w:w="3024"/>
            <w:shd w:val="clear" w:color="auto" w:fill="FFFFFF"/>
            <w:vAlign w:val="center"/>
          </w:tcPr>
          <w:p>
            <w:pPr>
              <w:spacing w:before="40" w:after="40"/>
            </w:pPr>
            <w:r>
              <w:rPr>
                <w:rFonts w:ascii="Calibri" w:hAnsi="Calibri"/>
                <w:b w:val="0"/>
                <w:i w:val="0"/>
                <w:color w:val="1A2A42"/>
                <w:sz w:val="19"/>
              </w:rPr>
              <w:t>50 simultaneous sessions</w:t>
            </w:r>
          </w:p>
        </w:tc>
        <w:tc>
          <w:tcPr>
            <w:tcW w:type="dxa" w:w="3024"/>
            <w:shd w:val="clear" w:color="auto" w:fill="FFFFFF"/>
            <w:vAlign w:val="center"/>
          </w:tcPr>
          <w:p>
            <w:pPr>
              <w:spacing w:before="40" w:after="40"/>
            </w:pPr>
            <w:r>
              <w:rPr>
                <w:rFonts w:ascii="Calibri" w:hAnsi="Calibri"/>
                <w:b w:val="0"/>
                <w:i w:val="0"/>
                <w:color w:val="1A2A42"/>
                <w:sz w:val="19"/>
              </w:rPr>
              <w:t>FastAPI async + connection pooling</w:t>
            </w:r>
          </w:p>
        </w:tc>
      </w:tr>
      <w:tr>
        <w:tc>
          <w:tcPr>
            <w:tcW w:type="dxa" w:w="3024"/>
            <w:shd w:val="clear" w:color="auto" w:fill="F0F4FA"/>
            <w:vAlign w:val="center"/>
          </w:tcPr>
          <w:p>
            <w:pPr>
              <w:spacing w:before="40" w:after="40"/>
            </w:pPr>
            <w:r>
              <w:rPr>
                <w:rFonts w:ascii="Calibri" w:hAnsi="Calibri"/>
                <w:b w:val="0"/>
                <w:i w:val="0"/>
                <w:color w:val="1A2A42"/>
                <w:sz w:val="19"/>
              </w:rPr>
              <w:t>LLM token budget</w:t>
            </w:r>
          </w:p>
        </w:tc>
        <w:tc>
          <w:tcPr>
            <w:tcW w:type="dxa" w:w="3024"/>
            <w:shd w:val="clear" w:color="auto" w:fill="F0F4FA"/>
            <w:vAlign w:val="center"/>
          </w:tcPr>
          <w:p>
            <w:pPr>
              <w:spacing w:before="40" w:after="40"/>
            </w:pPr>
            <w:r>
              <w:rPr>
                <w:rFonts w:ascii="Calibri" w:hAnsi="Calibri"/>
                <w:b w:val="0"/>
                <w:i w:val="0"/>
                <w:color w:val="1A2A42"/>
                <w:sz w:val="19"/>
              </w:rPr>
              <w:t>Configurable per request tier</w:t>
            </w:r>
          </w:p>
        </w:tc>
        <w:tc>
          <w:tcPr>
            <w:tcW w:type="dxa" w:w="3024"/>
            <w:shd w:val="clear" w:color="auto" w:fill="F0F4FA"/>
            <w:vAlign w:val="center"/>
          </w:tcPr>
          <w:p>
            <w:pPr>
              <w:spacing w:before="40" w:after="40"/>
            </w:pPr>
            <w:r>
              <w:rPr>
                <w:rFonts w:ascii="Calibri" w:hAnsi="Calibri"/>
                <w:b w:val="0"/>
                <w:i w:val="0"/>
                <w:color w:val="1A2A42"/>
                <w:sz w:val="19"/>
              </w:rPr>
              <w:t>InvestigationBudget.budget_tokens</w:t>
            </w:r>
          </w:p>
        </w:tc>
      </w:tr>
      <w:tr>
        <w:tc>
          <w:tcPr>
            <w:tcW w:type="dxa" w:w="3024"/>
            <w:shd w:val="clear" w:color="auto" w:fill="FFFFFF"/>
            <w:vAlign w:val="center"/>
          </w:tcPr>
          <w:p>
            <w:pPr>
              <w:spacing w:before="40" w:after="40"/>
            </w:pPr>
            <w:r>
              <w:rPr>
                <w:rFonts w:ascii="Calibri" w:hAnsi="Calibri"/>
                <w:b w:val="0"/>
                <w:i w:val="0"/>
                <w:color w:val="1A2A42"/>
                <w:sz w:val="19"/>
              </w:rPr>
              <w:t>Audit trail retention</w:t>
            </w:r>
          </w:p>
        </w:tc>
        <w:tc>
          <w:tcPr>
            <w:tcW w:type="dxa" w:w="3024"/>
            <w:shd w:val="clear" w:color="auto" w:fill="FFFFFF"/>
            <w:vAlign w:val="center"/>
          </w:tcPr>
          <w:p>
            <w:pPr>
              <w:spacing w:before="40" w:after="40"/>
            </w:pPr>
            <w:r>
              <w:rPr>
                <w:rFonts w:ascii="Calibri" w:hAnsi="Calibri"/>
                <w:b w:val="0"/>
                <w:i w:val="0"/>
                <w:color w:val="1A2A42"/>
                <w:sz w:val="19"/>
              </w:rPr>
              <w:t>All queries + evidence nodes logged</w:t>
            </w:r>
          </w:p>
        </w:tc>
        <w:tc>
          <w:tcPr>
            <w:tcW w:type="dxa" w:w="3024"/>
            <w:shd w:val="clear" w:color="auto" w:fill="FFFFFF"/>
            <w:vAlign w:val="center"/>
          </w:tcPr>
          <w:p>
            <w:pPr>
              <w:spacing w:before="40" w:after="40"/>
            </w:pPr>
            <w:r>
              <w:rPr>
                <w:rFonts w:ascii="Calibri" w:hAnsi="Calibri"/>
                <w:b w:val="0"/>
                <w:i w:val="0"/>
                <w:color w:val="1A2A42"/>
                <w:sz w:val="19"/>
              </w:rPr>
              <w:t>OpenTelemetry + Langfuse</w:t>
            </w:r>
          </w:p>
        </w:tc>
      </w:tr>
      <w:tr>
        <w:tc>
          <w:tcPr>
            <w:tcW w:type="dxa" w:w="3024"/>
            <w:shd w:val="clear" w:color="auto" w:fill="F0F4FA"/>
            <w:vAlign w:val="center"/>
          </w:tcPr>
          <w:p>
            <w:pPr>
              <w:spacing w:before="40" w:after="40"/>
            </w:pPr>
            <w:r>
              <w:rPr>
                <w:rFonts w:ascii="Calibri" w:hAnsi="Calibri"/>
                <w:b w:val="0"/>
                <w:i w:val="0"/>
                <w:color w:val="1A2A42"/>
                <w:sz w:val="19"/>
              </w:rPr>
              <w:t>Security invariant</w:t>
            </w:r>
          </w:p>
        </w:tc>
        <w:tc>
          <w:tcPr>
            <w:tcW w:type="dxa" w:w="3024"/>
            <w:shd w:val="clear" w:color="auto" w:fill="F0F4FA"/>
            <w:vAlign w:val="center"/>
          </w:tcPr>
          <w:p>
            <w:pPr>
              <w:spacing w:before="40" w:after="40"/>
            </w:pPr>
            <w:r>
              <w:rPr>
                <w:rFonts w:ascii="Calibri" w:hAnsi="Calibri"/>
                <w:b w:val="0"/>
                <w:i w:val="0"/>
                <w:color w:val="1A2A42"/>
                <w:sz w:val="19"/>
              </w:rPr>
              <w:t>SQLValidator runs before EVERY execution</w:t>
            </w:r>
          </w:p>
        </w:tc>
        <w:tc>
          <w:tcPr>
            <w:tcW w:type="dxa" w:w="3024"/>
            <w:shd w:val="clear" w:color="auto" w:fill="F0F4FA"/>
            <w:vAlign w:val="center"/>
          </w:tcPr>
          <w:p>
            <w:pPr>
              <w:spacing w:before="40" w:after="40"/>
            </w:pPr>
            <w:r>
              <w:rPr>
                <w:rFonts w:ascii="Calibri" w:hAnsi="Calibri"/>
                <w:b w:val="0"/>
                <w:i w:val="0"/>
                <w:color w:val="1A2A42"/>
                <w:sz w:val="19"/>
              </w:rPr>
              <w:t>Code invariant S-01; never relocatable</w:t>
            </w:r>
          </w:p>
        </w:tc>
      </w:tr>
      <w:tr>
        <w:tc>
          <w:tcPr>
            <w:tcW w:type="dxa" w:w="3024"/>
            <w:shd w:val="clear" w:color="auto" w:fill="FFFFFF"/>
            <w:vAlign w:val="center"/>
          </w:tcPr>
          <w:p>
            <w:pPr>
              <w:spacing w:before="40" w:after="40"/>
            </w:pPr>
            <w:r>
              <w:rPr>
                <w:rFonts w:ascii="Calibri" w:hAnsi="Calibri"/>
                <w:b w:val="0"/>
                <w:i w:val="0"/>
                <w:color w:val="1A2A42"/>
                <w:sz w:val="19"/>
              </w:rPr>
              <w:t>Reproducibility</w:t>
            </w:r>
          </w:p>
        </w:tc>
        <w:tc>
          <w:tcPr>
            <w:tcW w:type="dxa" w:w="3024"/>
            <w:shd w:val="clear" w:color="auto" w:fill="FFFFFF"/>
            <w:vAlign w:val="center"/>
          </w:tcPr>
          <w:p>
            <w:pPr>
              <w:spacing w:before="40" w:after="40"/>
            </w:pPr>
            <w:r>
              <w:rPr>
                <w:rFonts w:ascii="Calibri" w:hAnsi="Calibri"/>
                <w:b w:val="0"/>
                <w:i w:val="0"/>
                <w:color w:val="1A2A42"/>
                <w:sz w:val="19"/>
              </w:rPr>
              <w:t>Any session reproducible from ID</w:t>
            </w:r>
          </w:p>
        </w:tc>
        <w:tc>
          <w:tcPr>
            <w:tcW w:type="dxa" w:w="3024"/>
            <w:shd w:val="clear" w:color="auto" w:fill="FFFFFF"/>
            <w:vAlign w:val="center"/>
          </w:tcPr>
          <w:p>
            <w:pPr>
              <w:spacing w:before="40" w:after="40"/>
            </w:pPr>
            <w:r>
              <w:rPr>
                <w:rFonts w:ascii="Calibri" w:hAnsi="Calibri"/>
                <w:b w:val="0"/>
                <w:i w:val="0"/>
                <w:color w:val="1A2A42"/>
                <w:sz w:val="19"/>
              </w:rPr>
              <w:t>Evidence Graph + code_hash</w:t>
            </w:r>
          </w:p>
        </w:tc>
      </w:tr>
      <w:tr>
        <w:tc>
          <w:tcPr>
            <w:tcW w:type="dxa" w:w="3024"/>
            <w:shd w:val="clear" w:color="auto" w:fill="F0F4FA"/>
            <w:vAlign w:val="center"/>
          </w:tcPr>
          <w:p>
            <w:pPr>
              <w:spacing w:before="40" w:after="40"/>
            </w:pPr>
            <w:r>
              <w:rPr>
                <w:rFonts w:ascii="Calibri" w:hAnsi="Calibri"/>
                <w:b w:val="0"/>
                <w:i w:val="0"/>
                <w:color w:val="1A2A42"/>
                <w:sz w:val="19"/>
              </w:rPr>
              <w:t>Database portability</w:t>
            </w:r>
          </w:p>
        </w:tc>
        <w:tc>
          <w:tcPr>
            <w:tcW w:type="dxa" w:w="3024"/>
            <w:shd w:val="clear" w:color="auto" w:fill="F0F4FA"/>
            <w:vAlign w:val="center"/>
          </w:tcPr>
          <w:p>
            <w:pPr>
              <w:spacing w:before="40" w:after="40"/>
            </w:pPr>
            <w:r>
              <w:rPr>
                <w:rFonts w:ascii="Calibri" w:hAnsi="Calibri"/>
                <w:b w:val="0"/>
                <w:i w:val="0"/>
                <w:color w:val="1A2A42"/>
                <w:sz w:val="19"/>
              </w:rPr>
              <w:t>Zero schema changes for new DB</w:t>
            </w:r>
          </w:p>
        </w:tc>
        <w:tc>
          <w:tcPr>
            <w:tcW w:type="dxa" w:w="3024"/>
            <w:shd w:val="clear" w:color="auto" w:fill="F0F4FA"/>
            <w:vAlign w:val="center"/>
          </w:tcPr>
          <w:p>
            <w:pPr>
              <w:spacing w:before="40" w:after="40"/>
            </w:pPr>
            <w:r>
              <w:rPr>
                <w:rFonts w:ascii="Calibri" w:hAnsi="Calibri"/>
                <w:b w:val="0"/>
                <w:i w:val="0"/>
                <w:color w:val="1A2A42"/>
                <w:sz w:val="19"/>
              </w:rPr>
              <w:t>DatabaseAdapter abstraction</w:t>
            </w:r>
          </w:p>
        </w:tc>
      </w:tr>
      <w:tr>
        <w:tc>
          <w:tcPr>
            <w:tcW w:type="dxa" w:w="3024"/>
            <w:shd w:val="clear" w:color="auto" w:fill="FFFFFF"/>
            <w:vAlign w:val="center"/>
          </w:tcPr>
          <w:p>
            <w:pPr>
              <w:spacing w:before="40" w:after="40"/>
            </w:pPr>
            <w:r>
              <w:rPr>
                <w:rFonts w:ascii="Calibri" w:hAnsi="Calibri"/>
                <w:b w:val="0"/>
                <w:i w:val="0"/>
                <w:color w:val="1A2A42"/>
                <w:sz w:val="19"/>
              </w:rPr>
              <w:t>Uptime</w:t>
            </w:r>
          </w:p>
        </w:tc>
        <w:tc>
          <w:tcPr>
            <w:tcW w:type="dxa" w:w="3024"/>
            <w:shd w:val="clear" w:color="auto" w:fill="FFFFFF"/>
            <w:vAlign w:val="center"/>
          </w:tcPr>
          <w:p>
            <w:pPr>
              <w:spacing w:before="40" w:after="40"/>
            </w:pPr>
            <w:r>
              <w:rPr>
                <w:rFonts w:ascii="Calibri" w:hAnsi="Calibri"/>
                <w:b w:val="0"/>
                <w:i w:val="0"/>
                <w:color w:val="1A2A42"/>
                <w:sz w:val="19"/>
              </w:rPr>
              <w:t>99.5% (single instance); 99.9% (containerised)</w:t>
            </w:r>
          </w:p>
        </w:tc>
        <w:tc>
          <w:tcPr>
            <w:tcW w:type="dxa" w:w="3024"/>
            <w:shd w:val="clear" w:color="auto" w:fill="FFFFFF"/>
            <w:vAlign w:val="center"/>
          </w:tcPr>
          <w:p>
            <w:pPr>
              <w:spacing w:before="40" w:after="40"/>
            </w:pPr>
            <w:r>
              <w:rPr>
                <w:rFonts w:ascii="Calibri" w:hAnsi="Calibri"/>
                <w:b w:val="0"/>
                <w:i w:val="0"/>
                <w:color w:val="1A2A42"/>
                <w:sz w:val="19"/>
              </w:rPr>
              <w:t>Health endpoint + Docker/K8s</w:t>
            </w:r>
          </w:p>
        </w:tc>
      </w:tr>
    </w:tbl>
    <w:p>
      <w:pPr>
        <w:spacing w:before="120" w:after="120"/>
        <w:pBdr>
          <w:bottom w:val="single" w:sz="4" w:color="D0D8E8"/>
        </w:pBdr>
      </w:pPr>
    </w:p>
    <w:p>
      <w:r>
        <w:br w:type="page"/>
      </w:r>
    </w:p>
    <w:p>
      <w:pPr>
        <w:spacing w:before="360" w:after="80"/>
        <w:pBdr>
          <w:left w:val="single" w:sz="24" w:color="00C896" w:space="8"/>
        </w:pBdr>
        <w:ind w:left="216"/>
      </w:pPr>
      <w:r>
        <w:rPr>
          <w:rFonts w:ascii="Cambria" w:hAnsi="Cambria"/>
          <w:b/>
          <w:i w:val="0"/>
          <w:color w:val="0C1A2E"/>
          <w:sz w:val="30"/>
        </w:rPr>
        <w:t>3. Technology Stack</w:t>
      </w:r>
    </w:p>
    <w:p>
      <w:pPr>
        <w:spacing w:before="240" w:after="60"/>
      </w:pPr>
      <w:r>
        <w:rPr>
          <w:rFonts w:ascii="Cambria" w:hAnsi="Cambria"/>
          <w:b/>
          <w:i w:val="0"/>
          <w:color w:val="3B8BEB"/>
          <w:sz w:val="24"/>
        </w:rPr>
        <w:t>3.1 Core Application Framework</w:t>
      </w: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0C1A2E"/>
            <w:vAlign w:val="center"/>
          </w:tcPr>
          <w:p>
            <w:pPr>
              <w:spacing w:before="60" w:after="60"/>
            </w:pPr>
            <w:r>
              <w:rPr>
                <w:rFonts w:ascii="Calibri" w:hAnsi="Calibri"/>
                <w:b/>
                <w:i w:val="0"/>
                <w:color w:val="FFFFFF"/>
                <w:sz w:val="19"/>
              </w:rPr>
              <w:t>Component</w:t>
            </w:r>
          </w:p>
        </w:tc>
        <w:tc>
          <w:tcPr>
            <w:tcW w:type="dxa" w:w="2736"/>
            <w:shd w:val="clear" w:color="auto" w:fill="0C1A2E"/>
            <w:vAlign w:val="center"/>
          </w:tcPr>
          <w:p>
            <w:pPr>
              <w:spacing w:before="60" w:after="60"/>
            </w:pPr>
            <w:r>
              <w:rPr>
                <w:rFonts w:ascii="Calibri" w:hAnsi="Calibri"/>
                <w:b/>
                <w:i w:val="0"/>
                <w:color w:val="FFFFFF"/>
                <w:sz w:val="19"/>
              </w:rPr>
              <w:t>Technology</w:t>
            </w:r>
          </w:p>
        </w:tc>
        <w:tc>
          <w:tcPr>
            <w:tcW w:type="dxa" w:w="5040"/>
            <w:shd w:val="clear" w:color="auto" w:fill="0C1A2E"/>
            <w:vAlign w:val="center"/>
          </w:tcPr>
          <w:p>
            <w:pPr>
              <w:spacing w:before="60" w:after="60"/>
            </w:pPr>
            <w:r>
              <w:rPr>
                <w:rFonts w:ascii="Calibri" w:hAnsi="Calibri"/>
                <w:b/>
                <w:i w:val="0"/>
                <w:color w:val="FFFFFF"/>
                <w:sz w:val="19"/>
              </w:rPr>
              <w:t>Role</w:t>
            </w:r>
          </w:p>
        </w:tc>
      </w:tr>
      <w:tr>
        <w:tc>
          <w:tcPr>
            <w:tcW w:type="dxa" w:w="3024"/>
            <w:shd w:val="clear" w:color="auto" w:fill="F0F4FA"/>
            <w:vAlign w:val="center"/>
          </w:tcPr>
          <w:p>
            <w:pPr>
              <w:spacing w:before="40" w:after="40"/>
            </w:pPr>
            <w:r>
              <w:rPr>
                <w:rFonts w:ascii="Calibri" w:hAnsi="Calibri"/>
                <w:b w:val="0"/>
                <w:i w:val="0"/>
                <w:color w:val="1A2A42"/>
                <w:sz w:val="19"/>
              </w:rPr>
              <w:t>API Server</w:t>
            </w:r>
          </w:p>
        </w:tc>
        <w:tc>
          <w:tcPr>
            <w:tcW w:type="dxa" w:w="3024"/>
            <w:shd w:val="clear" w:color="auto" w:fill="F0F4FA"/>
            <w:vAlign w:val="center"/>
          </w:tcPr>
          <w:p>
            <w:pPr>
              <w:spacing w:before="40" w:after="40"/>
            </w:pPr>
            <w:r>
              <w:rPr>
                <w:rFonts w:ascii="Calibri" w:hAnsi="Calibri"/>
                <w:b w:val="0"/>
                <w:i w:val="0"/>
                <w:color w:val="1A2A42"/>
                <w:sz w:val="19"/>
              </w:rPr>
              <w:t>FastAPI 0.115+</w:t>
            </w:r>
          </w:p>
        </w:tc>
        <w:tc>
          <w:tcPr>
            <w:tcW w:type="dxa" w:w="3024"/>
            <w:shd w:val="clear" w:color="auto" w:fill="F0F4FA"/>
            <w:vAlign w:val="center"/>
          </w:tcPr>
          <w:p>
            <w:pPr>
              <w:spacing w:before="40" w:after="40"/>
            </w:pPr>
            <w:r>
              <w:rPr>
                <w:rFonts w:ascii="Calibri" w:hAnsi="Calibri"/>
                <w:b w:val="0"/>
                <w:i w:val="0"/>
                <w:color w:val="1A2A42"/>
                <w:sz w:val="19"/>
              </w:rPr>
              <w:t>Async HTTP server; serves REST API and 3-panel web UI at GET /</w:t>
            </w:r>
          </w:p>
        </w:tc>
      </w:tr>
      <w:tr>
        <w:tc>
          <w:tcPr>
            <w:tcW w:type="dxa" w:w="3024"/>
            <w:shd w:val="clear" w:color="auto" w:fill="FFFFFF"/>
            <w:vAlign w:val="center"/>
          </w:tcPr>
          <w:p>
            <w:pPr>
              <w:spacing w:before="40" w:after="40"/>
            </w:pPr>
            <w:r>
              <w:rPr>
                <w:rFonts w:ascii="Calibri" w:hAnsi="Calibri"/>
                <w:b w:val="0"/>
                <w:i w:val="0"/>
                <w:color w:val="1A2A42"/>
                <w:sz w:val="19"/>
              </w:rPr>
              <w:t>Data Validation</w:t>
            </w:r>
          </w:p>
        </w:tc>
        <w:tc>
          <w:tcPr>
            <w:tcW w:type="dxa" w:w="3024"/>
            <w:shd w:val="clear" w:color="auto" w:fill="FFFFFF"/>
            <w:vAlign w:val="center"/>
          </w:tcPr>
          <w:p>
            <w:pPr>
              <w:spacing w:before="40" w:after="40"/>
            </w:pPr>
            <w:r>
              <w:rPr>
                <w:rFonts w:ascii="Calibri" w:hAnsi="Calibri"/>
                <w:b w:val="0"/>
                <w:i w:val="0"/>
                <w:color w:val="1A2A42"/>
                <w:sz w:val="19"/>
              </w:rPr>
              <w:t>Pydantic v2</w:t>
            </w:r>
          </w:p>
        </w:tc>
        <w:tc>
          <w:tcPr>
            <w:tcW w:type="dxa" w:w="3024"/>
            <w:shd w:val="clear" w:color="auto" w:fill="FFFFFF"/>
            <w:vAlign w:val="center"/>
          </w:tcPr>
          <w:p>
            <w:pPr>
              <w:spacing w:before="40" w:after="40"/>
            </w:pPr>
            <w:r>
              <w:rPr>
                <w:rFonts w:ascii="Calibri" w:hAnsi="Calibri"/>
                <w:b w:val="0"/>
                <w:i w:val="0"/>
                <w:color w:val="1A2A42"/>
                <w:sz w:val="19"/>
              </w:rPr>
              <w:t>Request/response schema enforcement; LLM output parsing</w:t>
            </w:r>
          </w:p>
        </w:tc>
      </w:tr>
      <w:tr>
        <w:tc>
          <w:tcPr>
            <w:tcW w:type="dxa" w:w="3024"/>
            <w:shd w:val="clear" w:color="auto" w:fill="F0F4FA"/>
            <w:vAlign w:val="center"/>
          </w:tcPr>
          <w:p>
            <w:pPr>
              <w:spacing w:before="40" w:after="40"/>
            </w:pPr>
            <w:r>
              <w:rPr>
                <w:rFonts w:ascii="Calibri" w:hAnsi="Calibri"/>
                <w:b w:val="0"/>
                <w:i w:val="0"/>
                <w:color w:val="1A2A42"/>
                <w:sz w:val="19"/>
              </w:rPr>
              <w:t>LLM Orchestration</w:t>
            </w:r>
          </w:p>
        </w:tc>
        <w:tc>
          <w:tcPr>
            <w:tcW w:type="dxa" w:w="3024"/>
            <w:shd w:val="clear" w:color="auto" w:fill="F0F4FA"/>
            <w:vAlign w:val="center"/>
          </w:tcPr>
          <w:p>
            <w:pPr>
              <w:spacing w:before="40" w:after="40"/>
            </w:pPr>
            <w:r>
              <w:rPr>
                <w:rFonts w:ascii="Calibri" w:hAnsi="Calibri"/>
                <w:b w:val="0"/>
                <w:i w:val="0"/>
                <w:color w:val="1A2A42"/>
                <w:sz w:val="19"/>
              </w:rPr>
              <w:t>PydanticAI</w:t>
            </w:r>
          </w:p>
        </w:tc>
        <w:tc>
          <w:tcPr>
            <w:tcW w:type="dxa" w:w="3024"/>
            <w:shd w:val="clear" w:color="auto" w:fill="F0F4FA"/>
            <w:vAlign w:val="center"/>
          </w:tcPr>
          <w:p>
            <w:pPr>
              <w:spacing w:before="40" w:after="40"/>
            </w:pPr>
            <w:r>
              <w:rPr>
                <w:rFonts w:ascii="Calibri" w:hAnsi="Calibri"/>
                <w:b w:val="0"/>
                <w:i w:val="0"/>
                <w:color w:val="1A2A42"/>
                <w:sz w:val="19"/>
              </w:rPr>
              <w:t>Structured LLM calls with typed outputs; agent loop framework</w:t>
            </w:r>
          </w:p>
        </w:tc>
      </w:tr>
      <w:tr>
        <w:tc>
          <w:tcPr>
            <w:tcW w:type="dxa" w:w="3024"/>
            <w:shd w:val="clear" w:color="auto" w:fill="FFFFFF"/>
            <w:vAlign w:val="center"/>
          </w:tcPr>
          <w:p>
            <w:pPr>
              <w:spacing w:before="40" w:after="40"/>
            </w:pPr>
            <w:r>
              <w:rPr>
                <w:rFonts w:ascii="Calibri" w:hAnsi="Calibri"/>
                <w:b w:val="0"/>
                <w:i w:val="0"/>
                <w:color w:val="1A2A42"/>
                <w:sz w:val="19"/>
              </w:rPr>
              <w:t>Language</w:t>
            </w:r>
          </w:p>
        </w:tc>
        <w:tc>
          <w:tcPr>
            <w:tcW w:type="dxa" w:w="3024"/>
            <w:shd w:val="clear" w:color="auto" w:fill="FFFFFF"/>
            <w:vAlign w:val="center"/>
          </w:tcPr>
          <w:p>
            <w:pPr>
              <w:spacing w:before="40" w:after="40"/>
            </w:pPr>
            <w:r>
              <w:rPr>
                <w:rFonts w:ascii="Calibri" w:hAnsi="Calibri"/>
                <w:b w:val="0"/>
                <w:i w:val="0"/>
                <w:color w:val="1A2A42"/>
                <w:sz w:val="19"/>
              </w:rPr>
              <w:t>Python 3.12+</w:t>
            </w:r>
          </w:p>
        </w:tc>
        <w:tc>
          <w:tcPr>
            <w:tcW w:type="dxa" w:w="3024"/>
            <w:shd w:val="clear" w:color="auto" w:fill="FFFFFF"/>
            <w:vAlign w:val="center"/>
          </w:tcPr>
          <w:p>
            <w:pPr>
              <w:spacing w:before="40" w:after="40"/>
            </w:pPr>
            <w:r>
              <w:rPr>
                <w:rFonts w:ascii="Calibri" w:hAnsi="Calibri"/>
                <w:b w:val="0"/>
                <w:i w:val="0"/>
                <w:color w:val="1A2A42"/>
                <w:sz w:val="19"/>
              </w:rPr>
              <w:t>Primary runtime; type-annotated throughout</w:t>
            </w:r>
          </w:p>
        </w:tc>
      </w:tr>
      <w:tr>
        <w:tc>
          <w:tcPr>
            <w:tcW w:type="dxa" w:w="3024"/>
            <w:shd w:val="clear" w:color="auto" w:fill="F0F4FA"/>
            <w:vAlign w:val="center"/>
          </w:tcPr>
          <w:p>
            <w:pPr>
              <w:spacing w:before="40" w:after="40"/>
            </w:pPr>
            <w:r>
              <w:rPr>
                <w:rFonts w:ascii="Calibri" w:hAnsi="Calibri"/>
                <w:b w:val="0"/>
                <w:i w:val="0"/>
                <w:color w:val="1A2A42"/>
                <w:sz w:val="19"/>
              </w:rPr>
              <w:t>ASGI Server</w:t>
            </w:r>
          </w:p>
        </w:tc>
        <w:tc>
          <w:tcPr>
            <w:tcW w:type="dxa" w:w="3024"/>
            <w:shd w:val="clear" w:color="auto" w:fill="F0F4FA"/>
            <w:vAlign w:val="center"/>
          </w:tcPr>
          <w:p>
            <w:pPr>
              <w:spacing w:before="40" w:after="40"/>
            </w:pPr>
            <w:r>
              <w:rPr>
                <w:rFonts w:ascii="Calibri" w:hAnsi="Calibri"/>
                <w:b w:val="0"/>
                <w:i w:val="0"/>
                <w:color w:val="1A2A42"/>
                <w:sz w:val="19"/>
              </w:rPr>
              <w:t>Uvicorn</w:t>
            </w:r>
          </w:p>
        </w:tc>
        <w:tc>
          <w:tcPr>
            <w:tcW w:type="dxa" w:w="3024"/>
            <w:shd w:val="clear" w:color="auto" w:fill="F0F4FA"/>
            <w:vAlign w:val="center"/>
          </w:tcPr>
          <w:p>
            <w:pPr>
              <w:spacing w:before="40" w:after="40"/>
            </w:pPr>
            <w:r>
              <w:rPr>
                <w:rFonts w:ascii="Calibri" w:hAnsi="Calibri"/>
                <w:b w:val="0"/>
                <w:i w:val="0"/>
                <w:color w:val="1A2A42"/>
                <w:sz w:val="19"/>
              </w:rPr>
              <w:t>Production ASGI runner; `--workers` for multi-process scaling</w:t>
            </w:r>
          </w:p>
        </w:tc>
      </w:tr>
    </w:tbl>
    <w:p>
      <w:pPr>
        <w:spacing w:before="240" w:after="60"/>
      </w:pPr>
      <w:r>
        <w:rPr>
          <w:rFonts w:ascii="Cambria" w:hAnsi="Cambria"/>
          <w:b/>
          <w:i w:val="0"/>
          <w:color w:val="3B8BEB"/>
          <w:sz w:val="24"/>
        </w:rPr>
        <w:t>3.2 AI / LLM Layer</w:t>
      </w: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0C1A2E"/>
            <w:vAlign w:val="center"/>
          </w:tcPr>
          <w:p>
            <w:pPr>
              <w:spacing w:before="60" w:after="60"/>
            </w:pPr>
            <w:r>
              <w:rPr>
                <w:rFonts w:ascii="Calibri" w:hAnsi="Calibri"/>
                <w:b/>
                <w:i w:val="0"/>
                <w:color w:val="FFFFFF"/>
                <w:sz w:val="19"/>
              </w:rPr>
              <w:t>Component</w:t>
            </w:r>
          </w:p>
        </w:tc>
        <w:tc>
          <w:tcPr>
            <w:tcW w:type="dxa" w:w="3168"/>
            <w:shd w:val="clear" w:color="auto" w:fill="0C1A2E"/>
            <w:vAlign w:val="center"/>
          </w:tcPr>
          <w:p>
            <w:pPr>
              <w:spacing w:before="60" w:after="60"/>
            </w:pPr>
            <w:r>
              <w:rPr>
                <w:rFonts w:ascii="Calibri" w:hAnsi="Calibri"/>
                <w:b/>
                <w:i w:val="0"/>
                <w:color w:val="FFFFFF"/>
                <w:sz w:val="19"/>
              </w:rPr>
              <w:t>Technology</w:t>
            </w:r>
          </w:p>
        </w:tc>
        <w:tc>
          <w:tcPr>
            <w:tcW w:type="dxa" w:w="4608"/>
            <w:shd w:val="clear" w:color="auto" w:fill="0C1A2E"/>
            <w:vAlign w:val="center"/>
          </w:tcPr>
          <w:p>
            <w:pPr>
              <w:spacing w:before="60" w:after="60"/>
            </w:pPr>
            <w:r>
              <w:rPr>
                <w:rFonts w:ascii="Calibri" w:hAnsi="Calibri"/>
                <w:b/>
                <w:i w:val="0"/>
                <w:color w:val="FFFFFF"/>
                <w:sz w:val="19"/>
              </w:rPr>
              <w:t>Role</w:t>
            </w:r>
          </w:p>
        </w:tc>
      </w:tr>
      <w:tr>
        <w:tc>
          <w:tcPr>
            <w:tcW w:type="dxa" w:w="3024"/>
            <w:shd w:val="clear" w:color="auto" w:fill="F0F4FA"/>
            <w:vAlign w:val="center"/>
          </w:tcPr>
          <w:p>
            <w:pPr>
              <w:spacing w:before="40" w:after="40"/>
            </w:pPr>
            <w:r>
              <w:rPr>
                <w:rFonts w:ascii="Calibri" w:hAnsi="Calibri"/>
                <w:b w:val="0"/>
                <w:i w:val="0"/>
                <w:color w:val="1A2A42"/>
                <w:sz w:val="19"/>
              </w:rPr>
              <w:t>Primary LLM</w:t>
            </w:r>
          </w:p>
        </w:tc>
        <w:tc>
          <w:tcPr>
            <w:tcW w:type="dxa" w:w="3024"/>
            <w:shd w:val="clear" w:color="auto" w:fill="F0F4FA"/>
            <w:vAlign w:val="center"/>
          </w:tcPr>
          <w:p>
            <w:pPr>
              <w:spacing w:before="40" w:after="40"/>
            </w:pPr>
            <w:r>
              <w:rPr>
                <w:rFonts w:ascii="Calibri" w:hAnsi="Calibri"/>
                <w:b w:val="0"/>
                <w:i w:val="0"/>
                <w:color w:val="1A2A42"/>
                <w:sz w:val="19"/>
              </w:rPr>
              <w:t>Anthropic Claude Sonnet 4.x</w:t>
            </w:r>
          </w:p>
        </w:tc>
        <w:tc>
          <w:tcPr>
            <w:tcW w:type="dxa" w:w="3024"/>
            <w:shd w:val="clear" w:color="auto" w:fill="F0F4FA"/>
            <w:vAlign w:val="center"/>
          </w:tcPr>
          <w:p>
            <w:pPr>
              <w:spacing w:before="40" w:after="40"/>
            </w:pPr>
            <w:r>
              <w:rPr>
                <w:rFonts w:ascii="Calibri" w:hAnsi="Calibri"/>
                <w:b w:val="0"/>
                <w:i w:val="0"/>
                <w:color w:val="1A2A42"/>
                <w:sz w:val="19"/>
              </w:rPr>
              <w:t>Complex reasoning, SQL generation, insight synthesis</w:t>
            </w:r>
          </w:p>
        </w:tc>
      </w:tr>
      <w:tr>
        <w:tc>
          <w:tcPr>
            <w:tcW w:type="dxa" w:w="3024"/>
            <w:shd w:val="clear" w:color="auto" w:fill="FFFFFF"/>
            <w:vAlign w:val="center"/>
          </w:tcPr>
          <w:p>
            <w:pPr>
              <w:spacing w:before="40" w:after="40"/>
            </w:pPr>
            <w:r>
              <w:rPr>
                <w:rFonts w:ascii="Calibri" w:hAnsi="Calibri"/>
                <w:b w:val="0"/>
                <w:i w:val="0"/>
                <w:color w:val="1A2A42"/>
                <w:sz w:val="19"/>
              </w:rPr>
              <w:t>Classification LLM</w:t>
            </w:r>
          </w:p>
        </w:tc>
        <w:tc>
          <w:tcPr>
            <w:tcW w:type="dxa" w:w="3024"/>
            <w:shd w:val="clear" w:color="auto" w:fill="FFFFFF"/>
            <w:vAlign w:val="center"/>
          </w:tcPr>
          <w:p>
            <w:pPr>
              <w:spacing w:before="40" w:after="40"/>
            </w:pPr>
            <w:r>
              <w:rPr>
                <w:rFonts w:ascii="Calibri" w:hAnsi="Calibri"/>
                <w:b w:val="0"/>
                <w:i w:val="0"/>
                <w:color w:val="1A2A42"/>
                <w:sz w:val="19"/>
              </w:rPr>
              <w:t>Anthropic Claude Haiku</w:t>
            </w:r>
          </w:p>
        </w:tc>
        <w:tc>
          <w:tcPr>
            <w:tcW w:type="dxa" w:w="3024"/>
            <w:shd w:val="clear" w:color="auto" w:fill="FFFFFF"/>
            <w:vAlign w:val="center"/>
          </w:tcPr>
          <w:p>
            <w:pPr>
              <w:spacing w:before="40" w:after="40"/>
            </w:pPr>
            <w:r>
              <w:rPr>
                <w:rFonts w:ascii="Calibri" w:hAnsi="Calibri"/>
                <w:b w:val="0"/>
                <w:i w:val="0"/>
                <w:color w:val="1A2A42"/>
                <w:sz w:val="19"/>
              </w:rPr>
              <w:t>Complexity routing -- cost-optimised, fast</w:t>
            </w:r>
          </w:p>
        </w:tc>
      </w:tr>
      <w:tr>
        <w:tc>
          <w:tcPr>
            <w:tcW w:type="dxa" w:w="3024"/>
            <w:shd w:val="clear" w:color="auto" w:fill="F0F4FA"/>
            <w:vAlign w:val="center"/>
          </w:tcPr>
          <w:p>
            <w:pPr>
              <w:spacing w:before="40" w:after="40"/>
            </w:pPr>
            <w:r>
              <w:rPr>
                <w:rFonts w:ascii="Calibri" w:hAnsi="Calibri"/>
                <w:b w:val="0"/>
                <w:i w:val="0"/>
                <w:color w:val="1A2A42"/>
                <w:sz w:val="19"/>
              </w:rPr>
              <w:t>LLM Client</w:t>
            </w:r>
          </w:p>
        </w:tc>
        <w:tc>
          <w:tcPr>
            <w:tcW w:type="dxa" w:w="3024"/>
            <w:shd w:val="clear" w:color="auto" w:fill="F0F4FA"/>
            <w:vAlign w:val="center"/>
          </w:tcPr>
          <w:p>
            <w:pPr>
              <w:spacing w:before="40" w:after="40"/>
            </w:pPr>
            <w:r>
              <w:rPr>
                <w:rFonts w:ascii="Calibri" w:hAnsi="Calibri"/>
                <w:b w:val="0"/>
                <w:i w:val="0"/>
                <w:color w:val="1A2A42"/>
                <w:sz w:val="19"/>
              </w:rPr>
              <w:t>anthropic-sdk (Python)</w:t>
            </w:r>
          </w:p>
        </w:tc>
        <w:tc>
          <w:tcPr>
            <w:tcW w:type="dxa" w:w="3024"/>
            <w:shd w:val="clear" w:color="auto" w:fill="F0F4FA"/>
            <w:vAlign w:val="center"/>
          </w:tcPr>
          <w:p>
            <w:pPr>
              <w:spacing w:before="40" w:after="40"/>
            </w:pPr>
            <w:r>
              <w:rPr>
                <w:rFonts w:ascii="Calibri" w:hAnsi="Calibri"/>
                <w:b w:val="0"/>
                <w:i w:val="0"/>
                <w:color w:val="1A2A42"/>
                <w:sz w:val="19"/>
              </w:rPr>
              <w:t>API calls; streaming; prompt caching</w:t>
            </w:r>
          </w:p>
        </w:tc>
      </w:tr>
      <w:tr>
        <w:tc>
          <w:tcPr>
            <w:tcW w:type="dxa" w:w="3024"/>
            <w:shd w:val="clear" w:color="auto" w:fill="FFFFFF"/>
            <w:vAlign w:val="center"/>
          </w:tcPr>
          <w:p>
            <w:pPr>
              <w:spacing w:before="40" w:after="40"/>
            </w:pPr>
            <w:r>
              <w:rPr>
                <w:rFonts w:ascii="Calibri" w:hAnsi="Calibri"/>
                <w:b w:val="0"/>
                <w:i w:val="0"/>
                <w:color w:val="1A2A42"/>
                <w:sz w:val="19"/>
              </w:rPr>
              <w:t>Prompt Observability</w:t>
            </w:r>
          </w:p>
        </w:tc>
        <w:tc>
          <w:tcPr>
            <w:tcW w:type="dxa" w:w="3024"/>
            <w:shd w:val="clear" w:color="auto" w:fill="FFFFFF"/>
            <w:vAlign w:val="center"/>
          </w:tcPr>
          <w:p>
            <w:pPr>
              <w:spacing w:before="40" w:after="40"/>
            </w:pPr>
            <w:r>
              <w:rPr>
                <w:rFonts w:ascii="Calibri" w:hAnsi="Calibri"/>
                <w:b w:val="0"/>
                <w:i w:val="0"/>
                <w:color w:val="1A2A42"/>
                <w:sz w:val="19"/>
              </w:rPr>
              <w:t>Langfuse / Logfire</w:t>
            </w:r>
          </w:p>
        </w:tc>
        <w:tc>
          <w:tcPr>
            <w:tcW w:type="dxa" w:w="3024"/>
            <w:shd w:val="clear" w:color="auto" w:fill="FFFFFF"/>
            <w:vAlign w:val="center"/>
          </w:tcPr>
          <w:p>
            <w:pPr>
              <w:spacing w:before="40" w:after="40"/>
            </w:pPr>
            <w:r>
              <w:rPr>
                <w:rFonts w:ascii="Calibri" w:hAnsi="Calibri"/>
                <w:b w:val="0"/>
                <w:i w:val="0"/>
                <w:color w:val="1A2A42"/>
                <w:sz w:val="19"/>
              </w:rPr>
              <w:t>Token usage, latency, cost per request</w:t>
            </w:r>
          </w:p>
        </w:tc>
      </w:tr>
      <w:tr>
        <w:tc>
          <w:tcPr>
            <w:tcW w:type="dxa" w:w="3024"/>
            <w:shd w:val="clear" w:color="auto" w:fill="F0F4FA"/>
            <w:vAlign w:val="center"/>
          </w:tcPr>
          <w:p>
            <w:pPr>
              <w:spacing w:before="40" w:after="40"/>
            </w:pPr>
            <w:r>
              <w:rPr>
                <w:rFonts w:ascii="Calibri" w:hAnsi="Calibri"/>
                <w:b w:val="0"/>
                <w:i w:val="0"/>
                <w:color w:val="1A2A42"/>
                <w:sz w:val="19"/>
              </w:rPr>
              <w:t>Semantic Retrieval</w:t>
            </w:r>
          </w:p>
        </w:tc>
        <w:tc>
          <w:tcPr>
            <w:tcW w:type="dxa" w:w="3024"/>
            <w:shd w:val="clear" w:color="auto" w:fill="F0F4FA"/>
            <w:vAlign w:val="center"/>
          </w:tcPr>
          <w:p>
            <w:pPr>
              <w:spacing w:before="40" w:after="40"/>
            </w:pPr>
            <w:r>
              <w:rPr>
                <w:rFonts w:ascii="Calibri" w:hAnsi="Calibri"/>
                <w:b w:val="0"/>
                <w:i w:val="0"/>
                <w:color w:val="1A2A42"/>
                <w:sz w:val="19"/>
              </w:rPr>
              <w:t>HybridRetriever (custom)</w:t>
            </w:r>
          </w:p>
        </w:tc>
        <w:tc>
          <w:tcPr>
            <w:tcW w:type="dxa" w:w="3024"/>
            <w:shd w:val="clear" w:color="auto" w:fill="F0F4FA"/>
            <w:vAlign w:val="center"/>
          </w:tcPr>
          <w:p>
            <w:pPr>
              <w:spacing w:before="40" w:after="40"/>
            </w:pPr>
            <w:r>
              <w:rPr>
                <w:rFonts w:ascii="Calibri" w:hAnsi="Calibri"/>
                <w:b w:val="0"/>
                <w:i w:val="0"/>
                <w:color w:val="1A2A42"/>
                <w:sz w:val="19"/>
              </w:rPr>
              <w:t>RRF merge (k=60) of ChromaDB vector + BM25 lexical</w:t>
            </w:r>
          </w:p>
        </w:tc>
      </w:tr>
    </w:tbl>
    <w:p>
      <w:pPr>
        <w:spacing w:before="240" w:after="60"/>
      </w:pPr>
      <w:r>
        <w:rPr>
          <w:rFonts w:ascii="Cambria" w:hAnsi="Cambria"/>
          <w:b/>
          <w:i w:val="0"/>
          <w:color w:val="3B8BEB"/>
          <w:sz w:val="24"/>
        </w:rPr>
        <w:t>3.3 Analytics &amp; Statistical Engines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0C1A2E"/>
            <w:vAlign w:val="center"/>
          </w:tcPr>
          <w:p>
            <w:pPr>
              <w:spacing w:before="60" w:after="60"/>
            </w:pPr>
            <w:r>
              <w:rPr>
                <w:rFonts w:ascii="Calibri" w:hAnsi="Calibri"/>
                <w:b/>
                <w:i w:val="0"/>
                <w:color w:val="FFFFFF"/>
                <w:sz w:val="19"/>
              </w:rPr>
              <w:t>Library</w:t>
            </w:r>
          </w:p>
        </w:tc>
        <w:tc>
          <w:tcPr>
            <w:tcW w:type="dxa" w:w="1584"/>
            <w:shd w:val="clear" w:color="auto" w:fill="0C1A2E"/>
            <w:vAlign w:val="center"/>
          </w:tcPr>
          <w:p>
            <w:pPr>
              <w:spacing w:before="60" w:after="60"/>
            </w:pPr>
            <w:r>
              <w:rPr>
                <w:rFonts w:ascii="Calibri" w:hAnsi="Calibri"/>
                <w:b/>
                <w:i w:val="0"/>
                <w:color w:val="FFFFFF"/>
                <w:sz w:val="19"/>
              </w:rPr>
              <w:t>Version</w:t>
            </w:r>
          </w:p>
        </w:tc>
        <w:tc>
          <w:tcPr>
            <w:tcW w:type="dxa" w:w="6480"/>
            <w:shd w:val="clear" w:color="auto" w:fill="0C1A2E"/>
            <w:vAlign w:val="center"/>
          </w:tcPr>
          <w:p>
            <w:pPr>
              <w:spacing w:before="60" w:after="60"/>
            </w:pPr>
            <w:r>
              <w:rPr>
                <w:rFonts w:ascii="Calibri" w:hAnsi="Calibri"/>
                <w:b/>
                <w:i w:val="0"/>
                <w:color w:val="FFFFFF"/>
                <w:sz w:val="19"/>
              </w:rPr>
              <w:t>Usage</w:t>
            </w:r>
          </w:p>
        </w:tc>
      </w:tr>
      <w:tr>
        <w:tc>
          <w:tcPr>
            <w:tcW w:type="dxa" w:w="3024"/>
            <w:shd w:val="clear" w:color="auto" w:fill="F0F4FA"/>
            <w:vAlign w:val="center"/>
          </w:tcPr>
          <w:p>
            <w:pPr>
              <w:spacing w:before="40" w:after="40"/>
            </w:pPr>
            <w:r>
              <w:rPr>
                <w:rFonts w:ascii="Calibri" w:hAnsi="Calibri"/>
                <w:b w:val="0"/>
                <w:i w:val="0"/>
                <w:color w:val="1A2A42"/>
                <w:sz w:val="19"/>
              </w:rPr>
              <w:t>NumPy</w:t>
            </w:r>
          </w:p>
        </w:tc>
        <w:tc>
          <w:tcPr>
            <w:tcW w:type="dxa" w:w="3024"/>
            <w:shd w:val="clear" w:color="auto" w:fill="F0F4FA"/>
            <w:vAlign w:val="center"/>
          </w:tcPr>
          <w:p>
            <w:pPr>
              <w:spacing w:before="40" w:after="40"/>
            </w:pPr>
            <w:r>
              <w:rPr>
                <w:rFonts w:ascii="Calibri" w:hAnsi="Calibri"/>
                <w:b w:val="0"/>
                <w:i w:val="0"/>
                <w:color w:val="1A2A42"/>
                <w:sz w:val="19"/>
              </w:rPr>
              <w:t>1.26+</w:t>
            </w:r>
          </w:p>
        </w:tc>
        <w:tc>
          <w:tcPr>
            <w:tcW w:type="dxa" w:w="3024"/>
            <w:shd w:val="clear" w:color="auto" w:fill="F0F4FA"/>
            <w:vAlign w:val="center"/>
          </w:tcPr>
          <w:p>
            <w:pPr>
              <w:spacing w:before="40" w:after="40"/>
            </w:pPr>
            <w:r>
              <w:rPr>
                <w:rFonts w:ascii="Calibri" w:hAnsi="Calibri"/>
                <w:b w:val="0"/>
                <w:i w:val="0"/>
                <w:color w:val="1A2A42"/>
                <w:sz w:val="19"/>
              </w:rPr>
              <w:t>Array operations, matrix algebra, statistical primitives</w:t>
            </w:r>
          </w:p>
        </w:tc>
      </w:tr>
      <w:tr>
        <w:tc>
          <w:tcPr>
            <w:tcW w:type="dxa" w:w="3024"/>
            <w:shd w:val="clear" w:color="auto" w:fill="FFFFFF"/>
            <w:vAlign w:val="center"/>
          </w:tcPr>
          <w:p>
            <w:pPr>
              <w:spacing w:before="40" w:after="40"/>
            </w:pPr>
            <w:r>
              <w:rPr>
                <w:rFonts w:ascii="Calibri" w:hAnsi="Calibri"/>
                <w:b w:val="0"/>
                <w:i w:val="0"/>
                <w:color w:val="1A2A42"/>
                <w:sz w:val="19"/>
              </w:rPr>
              <w:t>SciPy</w:t>
            </w:r>
          </w:p>
        </w:tc>
        <w:tc>
          <w:tcPr>
            <w:tcW w:type="dxa" w:w="3024"/>
            <w:shd w:val="clear" w:color="auto" w:fill="FFFFFF"/>
            <w:vAlign w:val="center"/>
          </w:tcPr>
          <w:p>
            <w:pPr>
              <w:spacing w:before="40" w:after="40"/>
            </w:pPr>
            <w:r>
              <w:rPr>
                <w:rFonts w:ascii="Calibri" w:hAnsi="Calibri"/>
                <w:b w:val="0"/>
                <w:i w:val="0"/>
                <w:color w:val="1A2A42"/>
                <w:sz w:val="19"/>
              </w:rPr>
              <w:t>1.13+</w:t>
            </w:r>
          </w:p>
        </w:tc>
        <w:tc>
          <w:tcPr>
            <w:tcW w:type="dxa" w:w="3024"/>
            <w:shd w:val="clear" w:color="auto" w:fill="FFFFFF"/>
            <w:vAlign w:val="center"/>
          </w:tcPr>
          <w:p>
            <w:pPr>
              <w:spacing w:before="40" w:after="40"/>
            </w:pPr>
            <w:r>
              <w:rPr>
                <w:rFonts w:ascii="Calibri" w:hAnsi="Calibri"/>
                <w:b w:val="0"/>
                <w:i w:val="0"/>
                <w:color w:val="1A2A42"/>
                <w:sz w:val="19"/>
              </w:rPr>
              <w:t>Hypothesis tests (t-test, chi-square, Mann-Whitney), bootstrap CI, effect sizes</w:t>
            </w:r>
          </w:p>
        </w:tc>
      </w:tr>
      <w:tr>
        <w:tc>
          <w:tcPr>
            <w:tcW w:type="dxa" w:w="3024"/>
            <w:shd w:val="clear" w:color="auto" w:fill="F0F4FA"/>
            <w:vAlign w:val="center"/>
          </w:tcPr>
          <w:p>
            <w:pPr>
              <w:spacing w:before="40" w:after="40"/>
            </w:pPr>
            <w:r>
              <w:rPr>
                <w:rFonts w:ascii="Calibri" w:hAnsi="Calibri"/>
                <w:b w:val="0"/>
                <w:i w:val="0"/>
                <w:color w:val="1A2A42"/>
                <w:sz w:val="19"/>
              </w:rPr>
              <w:t>Statsmodels</w:t>
            </w:r>
          </w:p>
        </w:tc>
        <w:tc>
          <w:tcPr>
            <w:tcW w:type="dxa" w:w="3024"/>
            <w:shd w:val="clear" w:color="auto" w:fill="F0F4FA"/>
            <w:vAlign w:val="center"/>
          </w:tcPr>
          <w:p>
            <w:pPr>
              <w:spacing w:before="40" w:after="40"/>
            </w:pPr>
            <w:r>
              <w:rPr>
                <w:rFonts w:ascii="Calibri" w:hAnsi="Calibri"/>
                <w:b w:val="0"/>
                <w:i w:val="0"/>
                <w:color w:val="1A2A42"/>
                <w:sz w:val="19"/>
              </w:rPr>
              <w:t>0.14+</w:t>
            </w:r>
          </w:p>
        </w:tc>
        <w:tc>
          <w:tcPr>
            <w:tcW w:type="dxa" w:w="3024"/>
            <w:shd w:val="clear" w:color="auto" w:fill="F0F4FA"/>
            <w:vAlign w:val="center"/>
          </w:tcPr>
          <w:p>
            <w:pPr>
              <w:spacing w:before="40" w:after="40"/>
            </w:pPr>
            <w:r>
              <w:rPr>
                <w:rFonts w:ascii="Calibri" w:hAnsi="Calibri"/>
                <w:b w:val="0"/>
                <w:i w:val="0"/>
                <w:color w:val="1A2A42"/>
                <w:sz w:val="19"/>
              </w:rPr>
              <w:t>ARIMA, ETS, STL decomposition, Mann-Kendall trend test, OLS regression</w:t>
            </w:r>
          </w:p>
        </w:tc>
      </w:tr>
      <w:tr>
        <w:tc>
          <w:tcPr>
            <w:tcW w:type="dxa" w:w="3024"/>
            <w:shd w:val="clear" w:color="auto" w:fill="FFFFFF"/>
            <w:vAlign w:val="center"/>
          </w:tcPr>
          <w:p>
            <w:pPr>
              <w:spacing w:before="40" w:after="40"/>
            </w:pPr>
            <w:r>
              <w:rPr>
                <w:rFonts w:ascii="Calibri" w:hAnsi="Calibri"/>
                <w:b w:val="0"/>
                <w:i w:val="0"/>
                <w:color w:val="1A2A42"/>
                <w:sz w:val="19"/>
              </w:rPr>
              <w:t>scikit-learn</w:t>
            </w:r>
          </w:p>
        </w:tc>
        <w:tc>
          <w:tcPr>
            <w:tcW w:type="dxa" w:w="3024"/>
            <w:shd w:val="clear" w:color="auto" w:fill="FFFFFF"/>
            <w:vAlign w:val="center"/>
          </w:tcPr>
          <w:p>
            <w:pPr>
              <w:spacing w:before="40" w:after="40"/>
            </w:pPr>
            <w:r>
              <w:rPr>
                <w:rFonts w:ascii="Calibri" w:hAnsi="Calibri"/>
                <w:b w:val="0"/>
                <w:i w:val="0"/>
                <w:color w:val="1A2A42"/>
                <w:sz w:val="19"/>
              </w:rPr>
              <w:t>1.5+</w:t>
            </w:r>
          </w:p>
        </w:tc>
        <w:tc>
          <w:tcPr>
            <w:tcW w:type="dxa" w:w="3024"/>
            <w:shd w:val="clear" w:color="auto" w:fill="FFFFFF"/>
            <w:vAlign w:val="center"/>
          </w:tcPr>
          <w:p>
            <w:pPr>
              <w:spacing w:before="40" w:after="40"/>
            </w:pPr>
            <w:r>
              <w:rPr>
                <w:rFonts w:ascii="Calibri" w:hAnsi="Calibri"/>
                <w:b w:val="0"/>
                <w:i w:val="0"/>
                <w:color w:val="1A2A42"/>
                <w:sz w:val="19"/>
              </w:rPr>
              <w:t>Isolation Forest anomaly detection; PCA; cross-validation</w:t>
            </w:r>
          </w:p>
        </w:tc>
      </w:tr>
      <w:tr>
        <w:tc>
          <w:tcPr>
            <w:tcW w:type="dxa" w:w="3024"/>
            <w:shd w:val="clear" w:color="auto" w:fill="F0F4FA"/>
            <w:vAlign w:val="center"/>
          </w:tcPr>
          <w:p>
            <w:pPr>
              <w:spacing w:before="40" w:after="40"/>
            </w:pPr>
            <w:r>
              <w:rPr>
                <w:rFonts w:ascii="Calibri" w:hAnsi="Calibri"/>
                <w:b w:val="0"/>
                <w:i w:val="0"/>
                <w:color w:val="1A2A42"/>
                <w:sz w:val="19"/>
              </w:rPr>
              <w:t>Prophet</w:t>
            </w:r>
          </w:p>
        </w:tc>
        <w:tc>
          <w:tcPr>
            <w:tcW w:type="dxa" w:w="3024"/>
            <w:shd w:val="clear" w:color="auto" w:fill="F0F4FA"/>
            <w:vAlign w:val="center"/>
          </w:tcPr>
          <w:p>
            <w:pPr>
              <w:spacing w:before="40" w:after="40"/>
            </w:pPr>
            <w:r>
              <w:rPr>
                <w:rFonts w:ascii="Calibri" w:hAnsi="Calibri"/>
                <w:b w:val="0"/>
                <w:i w:val="0"/>
                <w:color w:val="1A2A42"/>
                <w:sz w:val="19"/>
              </w:rPr>
              <w:t>1.1+</w:t>
            </w:r>
          </w:p>
        </w:tc>
        <w:tc>
          <w:tcPr>
            <w:tcW w:type="dxa" w:w="3024"/>
            <w:shd w:val="clear" w:color="auto" w:fill="F0F4FA"/>
            <w:vAlign w:val="center"/>
          </w:tcPr>
          <w:p>
            <w:pPr>
              <w:spacing w:before="40" w:after="40"/>
            </w:pPr>
            <w:r>
              <w:rPr>
                <w:rFonts w:ascii="Calibri" w:hAnsi="Calibri"/>
                <w:b w:val="0"/>
                <w:i w:val="0"/>
                <w:color w:val="1A2A42"/>
                <w:sz w:val="19"/>
              </w:rPr>
              <w:t>Seasonal time-series forecasting with automatic changepoint detection</w:t>
            </w:r>
          </w:p>
        </w:tc>
      </w:tr>
      <w:tr>
        <w:tc>
          <w:tcPr>
            <w:tcW w:type="dxa" w:w="3024"/>
            <w:shd w:val="clear" w:color="auto" w:fill="FFFFFF"/>
            <w:vAlign w:val="center"/>
          </w:tcPr>
          <w:p>
            <w:pPr>
              <w:spacing w:before="40" w:after="40"/>
            </w:pPr>
            <w:r>
              <w:rPr>
                <w:rFonts w:ascii="Calibri" w:hAnsi="Calibri"/>
                <w:b w:val="0"/>
                <w:i w:val="0"/>
                <w:color w:val="1A2A42"/>
                <w:sz w:val="19"/>
              </w:rPr>
              <w:t>DuckDB</w:t>
            </w:r>
          </w:p>
        </w:tc>
        <w:tc>
          <w:tcPr>
            <w:tcW w:type="dxa" w:w="3024"/>
            <w:shd w:val="clear" w:color="auto" w:fill="FFFFFF"/>
            <w:vAlign w:val="center"/>
          </w:tcPr>
          <w:p>
            <w:pPr>
              <w:spacing w:before="40" w:after="40"/>
            </w:pPr>
            <w:r>
              <w:rPr>
                <w:rFonts w:ascii="Calibri" w:hAnsi="Calibri"/>
                <w:b w:val="0"/>
                <w:i w:val="0"/>
                <w:color w:val="1A2A42"/>
                <w:sz w:val="19"/>
              </w:rPr>
              <w:t>0.10+</w:t>
            </w:r>
          </w:p>
        </w:tc>
        <w:tc>
          <w:tcPr>
            <w:tcW w:type="dxa" w:w="3024"/>
            <w:shd w:val="clear" w:color="auto" w:fill="FFFFFF"/>
            <w:vAlign w:val="center"/>
          </w:tcPr>
          <w:p>
            <w:pPr>
              <w:spacing w:before="40" w:after="40"/>
            </w:pPr>
            <w:r>
              <w:rPr>
                <w:rFonts w:ascii="Calibri" w:hAnsi="Calibri"/>
                <w:b w:val="0"/>
                <w:i w:val="0"/>
                <w:color w:val="1A2A42"/>
                <w:sz w:val="19"/>
              </w:rPr>
              <w:t>In-process analytical SQL; Pearson correlation; result validation</w:t>
            </w:r>
          </w:p>
        </w:tc>
      </w:tr>
      <w:tr>
        <w:tc>
          <w:tcPr>
            <w:tcW w:type="dxa" w:w="3024"/>
            <w:shd w:val="clear" w:color="auto" w:fill="F0F4FA"/>
            <w:vAlign w:val="center"/>
          </w:tcPr>
          <w:p>
            <w:pPr>
              <w:spacing w:before="40" w:after="40"/>
            </w:pPr>
            <w:r>
              <w:rPr>
                <w:rFonts w:ascii="Calibri" w:hAnsi="Calibri"/>
                <w:b w:val="0"/>
                <w:i w:val="0"/>
                <w:color w:val="1A2A42"/>
                <w:sz w:val="19"/>
              </w:rPr>
              <w:t>Pandas</w:t>
            </w:r>
          </w:p>
        </w:tc>
        <w:tc>
          <w:tcPr>
            <w:tcW w:type="dxa" w:w="3024"/>
            <w:shd w:val="clear" w:color="auto" w:fill="F0F4FA"/>
            <w:vAlign w:val="center"/>
          </w:tcPr>
          <w:p>
            <w:pPr>
              <w:spacing w:before="40" w:after="40"/>
            </w:pPr>
            <w:r>
              <w:rPr>
                <w:rFonts w:ascii="Calibri" w:hAnsi="Calibri"/>
                <w:b w:val="0"/>
                <w:i w:val="0"/>
                <w:color w:val="1A2A42"/>
                <w:sz w:val="19"/>
              </w:rPr>
              <w:t>2.2+</w:t>
            </w:r>
          </w:p>
        </w:tc>
        <w:tc>
          <w:tcPr>
            <w:tcW w:type="dxa" w:w="3024"/>
            <w:shd w:val="clear" w:color="auto" w:fill="F0F4FA"/>
            <w:vAlign w:val="center"/>
          </w:tcPr>
          <w:p>
            <w:pPr>
              <w:spacing w:before="40" w:after="40"/>
            </w:pPr>
            <w:r>
              <w:rPr>
                <w:rFonts w:ascii="Calibri" w:hAnsi="Calibri"/>
                <w:b w:val="0"/>
                <w:i w:val="0"/>
                <w:color w:val="1A2A42"/>
                <w:sz w:val="19"/>
              </w:rPr>
              <w:t>DataFrame manipulation; result post-processing</w:t>
            </w:r>
          </w:p>
        </w:tc>
      </w:tr>
      <w:tr>
        <w:tc>
          <w:tcPr>
            <w:tcW w:type="dxa" w:w="3024"/>
            <w:shd w:val="clear" w:color="auto" w:fill="FFFFFF"/>
            <w:vAlign w:val="center"/>
          </w:tcPr>
          <w:p>
            <w:pPr>
              <w:spacing w:before="40" w:after="40"/>
            </w:pPr>
            <w:r>
              <w:rPr>
                <w:rFonts w:ascii="Calibri" w:hAnsi="Calibri"/>
                <w:b w:val="0"/>
                <w:i w:val="0"/>
                <w:color w:val="1A2A42"/>
                <w:sz w:val="19"/>
              </w:rPr>
              <w:t>SQLGlot</w:t>
            </w:r>
          </w:p>
        </w:tc>
        <w:tc>
          <w:tcPr>
            <w:tcW w:type="dxa" w:w="3024"/>
            <w:shd w:val="clear" w:color="auto" w:fill="FFFFFF"/>
            <w:vAlign w:val="center"/>
          </w:tcPr>
          <w:p>
            <w:pPr>
              <w:spacing w:before="40" w:after="40"/>
            </w:pPr>
            <w:r>
              <w:rPr>
                <w:rFonts w:ascii="Calibri" w:hAnsi="Calibri"/>
                <w:b w:val="0"/>
                <w:i w:val="0"/>
                <w:color w:val="1A2A42"/>
                <w:sz w:val="19"/>
              </w:rPr>
              <w:t>23+</w:t>
            </w:r>
          </w:p>
        </w:tc>
        <w:tc>
          <w:tcPr>
            <w:tcW w:type="dxa" w:w="3024"/>
            <w:shd w:val="clear" w:color="auto" w:fill="FFFFFF"/>
            <w:vAlign w:val="center"/>
          </w:tcPr>
          <w:p>
            <w:pPr>
              <w:spacing w:before="40" w:after="40"/>
            </w:pPr>
            <w:r>
              <w:rPr>
                <w:rFonts w:ascii="Calibri" w:hAnsi="Calibri"/>
                <w:b w:val="0"/>
                <w:i w:val="0"/>
                <w:color w:val="1A2A42"/>
                <w:sz w:val="19"/>
              </w:rPr>
              <w:t>SQL dialect transpilation across 6+ database engines</w:t>
            </w:r>
          </w:p>
        </w:tc>
      </w:tr>
    </w:tbl>
    <w:p>
      <w:pPr>
        <w:spacing w:before="240" w:after="60"/>
      </w:pPr>
      <w:r>
        <w:rPr>
          <w:rFonts w:ascii="Cambria" w:hAnsi="Cambria"/>
          <w:b/>
          <w:i w:val="0"/>
          <w:color w:val="3B8BEB"/>
          <w:sz w:val="24"/>
        </w:rPr>
        <w:t>3.4 Storage &amp; Caching</w:t>
      </w:r>
    </w:p>
    <w:tbl>
      <w:tblPr>
        <w:tblStyle w:val="TableGrid"/>
        <w:tblW w:type="auto" w:w="0"/>
        <w:jc w:val="left"/>
        <w:tblLook w:firstColumn="1" w:firstRow="1" w:lastColumn="0" w:lastRow="0" w:noHBand="0" w:noVBand="1" w:val="04A0"/>
      </w:tblPr>
      <w:tblGrid>
        <w:gridCol w:w="3024"/>
        <w:gridCol w:w="3024"/>
        <w:gridCol w:w="3024"/>
      </w:tblGrid>
      <w:tr>
        <w:tc>
          <w:tcPr>
            <w:tcW w:type="dxa" w:w="2304"/>
            <w:shd w:val="clear" w:color="auto" w:fill="0C1A2E"/>
            <w:vAlign w:val="center"/>
          </w:tcPr>
          <w:p>
            <w:pPr>
              <w:spacing w:before="60" w:after="60"/>
            </w:pPr>
            <w:r>
              <w:rPr>
                <w:rFonts w:ascii="Calibri" w:hAnsi="Calibri"/>
                <w:b/>
                <w:i w:val="0"/>
                <w:color w:val="FFFFFF"/>
                <w:sz w:val="19"/>
              </w:rPr>
              <w:t>Store</w:t>
            </w:r>
          </w:p>
        </w:tc>
        <w:tc>
          <w:tcPr>
            <w:tcW w:type="dxa" w:w="3456"/>
            <w:shd w:val="clear" w:color="auto" w:fill="0C1A2E"/>
            <w:vAlign w:val="center"/>
          </w:tcPr>
          <w:p>
            <w:pPr>
              <w:spacing w:before="60" w:after="60"/>
            </w:pPr>
            <w:r>
              <w:rPr>
                <w:rFonts w:ascii="Calibri" w:hAnsi="Calibri"/>
                <w:b/>
                <w:i w:val="0"/>
                <w:color w:val="FFFFFF"/>
                <w:sz w:val="19"/>
              </w:rPr>
              <w:t>Technology</w:t>
            </w:r>
          </w:p>
        </w:tc>
        <w:tc>
          <w:tcPr>
            <w:tcW w:type="dxa" w:w="4464"/>
            <w:shd w:val="clear" w:color="auto" w:fill="0C1A2E"/>
            <w:vAlign w:val="center"/>
          </w:tcPr>
          <w:p>
            <w:pPr>
              <w:spacing w:before="60" w:after="60"/>
            </w:pPr>
            <w:r>
              <w:rPr>
                <w:rFonts w:ascii="Calibri" w:hAnsi="Calibri"/>
                <w:b/>
                <w:i w:val="0"/>
                <w:color w:val="FFFFFF"/>
                <w:sz w:val="19"/>
              </w:rPr>
              <w:t>Holds</w:t>
            </w:r>
          </w:p>
        </w:tc>
      </w:tr>
      <w:tr>
        <w:tc>
          <w:tcPr>
            <w:tcW w:type="dxa" w:w="3024"/>
            <w:shd w:val="clear" w:color="auto" w:fill="F0F4FA"/>
            <w:vAlign w:val="center"/>
          </w:tcPr>
          <w:p>
            <w:pPr>
              <w:spacing w:before="40" w:after="40"/>
            </w:pPr>
            <w:r>
              <w:rPr>
                <w:rFonts w:ascii="Calibri" w:hAnsi="Calibri"/>
                <w:b w:val="0"/>
                <w:i w:val="0"/>
                <w:color w:val="1A2A42"/>
                <w:sz w:val="19"/>
              </w:rPr>
              <w:t>Primary databases</w:t>
            </w:r>
          </w:p>
        </w:tc>
        <w:tc>
          <w:tcPr>
            <w:tcW w:type="dxa" w:w="3024"/>
            <w:shd w:val="clear" w:color="auto" w:fill="F0F4FA"/>
            <w:vAlign w:val="center"/>
          </w:tcPr>
          <w:p>
            <w:pPr>
              <w:spacing w:before="40" w:after="40"/>
            </w:pPr>
            <w:r>
              <w:rPr>
                <w:rFonts w:ascii="Calibri" w:hAnsi="Calibri"/>
                <w:b w:val="0"/>
                <w:i w:val="0"/>
                <w:color w:val="1A2A42"/>
                <w:sz w:val="19"/>
              </w:rPr>
              <w:t>PostgreSQL / Snowflake / BigQuery / etc.</w:t>
            </w:r>
          </w:p>
        </w:tc>
        <w:tc>
          <w:tcPr>
            <w:tcW w:type="dxa" w:w="3024"/>
            <w:shd w:val="clear" w:color="auto" w:fill="F0F4FA"/>
            <w:vAlign w:val="center"/>
          </w:tcPr>
          <w:p>
            <w:pPr>
              <w:spacing w:before="40" w:after="40"/>
            </w:pPr>
            <w:r>
              <w:rPr>
                <w:rFonts w:ascii="Calibri" w:hAnsi="Calibri"/>
                <w:b w:val="0"/>
                <w:i w:val="0"/>
                <w:color w:val="1A2A42"/>
                <w:sz w:val="19"/>
              </w:rPr>
              <w:t>User business data (read-only access)</w:t>
            </w:r>
          </w:p>
        </w:tc>
      </w:tr>
      <w:tr>
        <w:tc>
          <w:tcPr>
            <w:tcW w:type="dxa" w:w="3024"/>
            <w:shd w:val="clear" w:color="auto" w:fill="FFFFFF"/>
            <w:vAlign w:val="center"/>
          </w:tcPr>
          <w:p>
            <w:pPr>
              <w:spacing w:before="40" w:after="40"/>
            </w:pPr>
            <w:r>
              <w:rPr>
                <w:rFonts w:ascii="Calibri" w:hAnsi="Calibri"/>
                <w:b w:val="0"/>
                <w:i w:val="0"/>
                <w:color w:val="1A2A42"/>
                <w:sz w:val="19"/>
              </w:rPr>
              <w:t>Vector index</w:t>
            </w:r>
          </w:p>
        </w:tc>
        <w:tc>
          <w:tcPr>
            <w:tcW w:type="dxa" w:w="3024"/>
            <w:shd w:val="clear" w:color="auto" w:fill="FFFFFF"/>
            <w:vAlign w:val="center"/>
          </w:tcPr>
          <w:p>
            <w:pPr>
              <w:spacing w:before="40" w:after="40"/>
            </w:pPr>
            <w:r>
              <w:rPr>
                <w:rFonts w:ascii="Calibri" w:hAnsi="Calibri"/>
                <w:b w:val="0"/>
                <w:i w:val="0"/>
                <w:color w:val="1A2A42"/>
                <w:sz w:val="19"/>
              </w:rPr>
              <w:t>ChromaDB</w:t>
            </w:r>
          </w:p>
        </w:tc>
        <w:tc>
          <w:tcPr>
            <w:tcW w:type="dxa" w:w="3024"/>
            <w:shd w:val="clear" w:color="auto" w:fill="FFFFFF"/>
            <w:vAlign w:val="center"/>
          </w:tcPr>
          <w:p>
            <w:pPr>
              <w:spacing w:before="40" w:after="40"/>
            </w:pPr>
            <w:r>
              <w:rPr>
                <w:rFonts w:ascii="Calibri" w:hAnsi="Calibri"/>
                <w:b w:val="0"/>
                <w:i w:val="0"/>
                <w:color w:val="1A2A42"/>
                <w:sz w:val="19"/>
              </w:rPr>
              <w:t>Semantic embeddings of table/column metadata</w:t>
            </w:r>
          </w:p>
        </w:tc>
      </w:tr>
      <w:tr>
        <w:tc>
          <w:tcPr>
            <w:tcW w:type="dxa" w:w="3024"/>
            <w:shd w:val="clear" w:color="auto" w:fill="F0F4FA"/>
            <w:vAlign w:val="center"/>
          </w:tcPr>
          <w:p>
            <w:pPr>
              <w:spacing w:before="40" w:after="40"/>
            </w:pPr>
            <w:r>
              <w:rPr>
                <w:rFonts w:ascii="Calibri" w:hAnsi="Calibri"/>
                <w:b w:val="0"/>
                <w:i w:val="0"/>
                <w:color w:val="1A2A42"/>
                <w:sz w:val="19"/>
              </w:rPr>
              <w:t>Lexical index</w:t>
            </w:r>
          </w:p>
        </w:tc>
        <w:tc>
          <w:tcPr>
            <w:tcW w:type="dxa" w:w="3024"/>
            <w:shd w:val="clear" w:color="auto" w:fill="F0F4FA"/>
            <w:vAlign w:val="center"/>
          </w:tcPr>
          <w:p>
            <w:pPr>
              <w:spacing w:before="40" w:after="40"/>
            </w:pPr>
            <w:r>
              <w:rPr>
                <w:rFonts w:ascii="Calibri" w:hAnsi="Calibri"/>
                <w:b w:val="0"/>
                <w:i w:val="0"/>
                <w:color w:val="1A2A42"/>
                <w:sz w:val="19"/>
              </w:rPr>
              <w:t>BM25 (rank-bm25 library)</w:t>
            </w:r>
          </w:p>
        </w:tc>
        <w:tc>
          <w:tcPr>
            <w:tcW w:type="dxa" w:w="3024"/>
            <w:shd w:val="clear" w:color="auto" w:fill="F0F4FA"/>
            <w:vAlign w:val="center"/>
          </w:tcPr>
          <w:p>
            <w:pPr>
              <w:spacing w:before="40" w:after="40"/>
            </w:pPr>
            <w:r>
              <w:rPr>
                <w:rFonts w:ascii="Calibri" w:hAnsi="Calibri"/>
                <w:b w:val="0"/>
                <w:i w:val="0"/>
                <w:color w:val="1A2A42"/>
                <w:sz w:val="19"/>
              </w:rPr>
              <w:t>Keyword index for schema search</w:t>
            </w:r>
          </w:p>
        </w:tc>
      </w:tr>
      <w:tr>
        <w:tc>
          <w:tcPr>
            <w:tcW w:type="dxa" w:w="3024"/>
            <w:shd w:val="clear" w:color="auto" w:fill="FFFFFF"/>
            <w:vAlign w:val="center"/>
          </w:tcPr>
          <w:p>
            <w:pPr>
              <w:spacing w:before="40" w:after="40"/>
            </w:pPr>
            <w:r>
              <w:rPr>
                <w:rFonts w:ascii="Calibri" w:hAnsi="Calibri"/>
                <w:b w:val="0"/>
                <w:i w:val="0"/>
                <w:color w:val="1A2A42"/>
                <w:sz w:val="19"/>
              </w:rPr>
              <w:t>Session cache</w:t>
            </w:r>
          </w:p>
        </w:tc>
        <w:tc>
          <w:tcPr>
            <w:tcW w:type="dxa" w:w="3024"/>
            <w:shd w:val="clear" w:color="auto" w:fill="FFFFFF"/>
            <w:vAlign w:val="center"/>
          </w:tcPr>
          <w:p>
            <w:pPr>
              <w:spacing w:before="40" w:after="40"/>
            </w:pPr>
            <w:r>
              <w:rPr>
                <w:rFonts w:ascii="Calibri" w:hAnsi="Calibri"/>
                <w:b w:val="0"/>
                <w:i w:val="0"/>
                <w:color w:val="1A2A42"/>
                <w:sz w:val="19"/>
              </w:rPr>
              <w:t>Redis</w:t>
            </w:r>
          </w:p>
        </w:tc>
        <w:tc>
          <w:tcPr>
            <w:tcW w:type="dxa" w:w="3024"/>
            <w:shd w:val="clear" w:color="auto" w:fill="FFFFFF"/>
            <w:vAlign w:val="center"/>
          </w:tcPr>
          <w:p>
            <w:pPr>
              <w:spacing w:before="40" w:after="40"/>
            </w:pPr>
            <w:r>
              <w:rPr>
                <w:rFonts w:ascii="Calibri" w:hAnsi="Calibri"/>
                <w:b w:val="0"/>
                <w:i w:val="0"/>
                <w:color w:val="1A2A42"/>
                <w:sz w:val="19"/>
              </w:rPr>
              <w:t>Semantic context, SQL result cache, session state</w:t>
            </w:r>
          </w:p>
        </w:tc>
      </w:tr>
      <w:tr>
        <w:tc>
          <w:tcPr>
            <w:tcW w:type="dxa" w:w="3024"/>
            <w:shd w:val="clear" w:color="auto" w:fill="F0F4FA"/>
            <w:vAlign w:val="center"/>
          </w:tcPr>
          <w:p>
            <w:pPr>
              <w:spacing w:before="40" w:after="40"/>
            </w:pPr>
            <w:r>
              <w:rPr>
                <w:rFonts w:ascii="Calibri" w:hAnsi="Calibri"/>
                <w:b w:val="0"/>
                <w:i w:val="0"/>
                <w:color w:val="1A2A42"/>
                <w:sz w:val="19"/>
              </w:rPr>
              <w:t>Analytical scratch</w:t>
            </w:r>
          </w:p>
        </w:tc>
        <w:tc>
          <w:tcPr>
            <w:tcW w:type="dxa" w:w="3024"/>
            <w:shd w:val="clear" w:color="auto" w:fill="F0F4FA"/>
            <w:vAlign w:val="center"/>
          </w:tcPr>
          <w:p>
            <w:pPr>
              <w:spacing w:before="40" w:after="40"/>
            </w:pPr>
            <w:r>
              <w:rPr>
                <w:rFonts w:ascii="Calibri" w:hAnsi="Calibri"/>
                <w:b w:val="0"/>
                <w:i w:val="0"/>
                <w:color w:val="1A2A42"/>
                <w:sz w:val="19"/>
              </w:rPr>
              <w:t>DuckDB (in-memory)</w:t>
            </w:r>
          </w:p>
        </w:tc>
        <w:tc>
          <w:tcPr>
            <w:tcW w:type="dxa" w:w="3024"/>
            <w:shd w:val="clear" w:color="auto" w:fill="F0F4FA"/>
            <w:vAlign w:val="center"/>
          </w:tcPr>
          <w:p>
            <w:pPr>
              <w:spacing w:before="40" w:after="40"/>
            </w:pPr>
            <w:r>
              <w:rPr>
                <w:rFonts w:ascii="Calibri" w:hAnsi="Calibri"/>
                <w:b w:val="0"/>
                <w:i w:val="0"/>
                <w:color w:val="1A2A42"/>
                <w:sz w:val="19"/>
              </w:rPr>
              <w:t>Intermediate analytical results; correlation; joins</w:t>
            </w:r>
          </w:p>
        </w:tc>
      </w:tr>
    </w:tbl>
    <w:p>
      <w:pPr>
        <w:spacing w:before="240" w:after="60"/>
      </w:pPr>
      <w:r>
        <w:rPr>
          <w:rFonts w:ascii="Cambria" w:hAnsi="Cambria"/>
          <w:b/>
          <w:i w:val="0"/>
          <w:color w:val="3B8BEB"/>
          <w:sz w:val="24"/>
        </w:rPr>
        <w:t>3.5 Frontend &amp; Visualisation</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0C1A2E"/>
            <w:vAlign w:val="center"/>
          </w:tcPr>
          <w:p>
            <w:pPr>
              <w:spacing w:before="60" w:after="60"/>
            </w:pPr>
            <w:r>
              <w:rPr>
                <w:rFonts w:ascii="Calibri" w:hAnsi="Calibri"/>
                <w:b/>
                <w:i w:val="0"/>
                <w:color w:val="FFFFFF"/>
                <w:sz w:val="19"/>
              </w:rPr>
              <w:t>Component</w:t>
            </w:r>
          </w:p>
        </w:tc>
        <w:tc>
          <w:tcPr>
            <w:tcW w:type="dxa" w:w="3600"/>
            <w:shd w:val="clear" w:color="auto" w:fill="0C1A2E"/>
            <w:vAlign w:val="center"/>
          </w:tcPr>
          <w:p>
            <w:pPr>
              <w:spacing w:before="60" w:after="60"/>
            </w:pPr>
            <w:r>
              <w:rPr>
                <w:rFonts w:ascii="Calibri" w:hAnsi="Calibri"/>
                <w:b/>
                <w:i w:val="0"/>
                <w:color w:val="FFFFFF"/>
                <w:sz w:val="19"/>
              </w:rPr>
              <w:t>Technology</w:t>
            </w:r>
          </w:p>
        </w:tc>
        <w:tc>
          <w:tcPr>
            <w:tcW w:type="dxa" w:w="4464"/>
            <w:shd w:val="clear" w:color="auto" w:fill="0C1A2E"/>
            <w:vAlign w:val="center"/>
          </w:tcPr>
          <w:p>
            <w:pPr>
              <w:spacing w:before="60" w:after="60"/>
            </w:pPr>
            <w:r>
              <w:rPr>
                <w:rFonts w:ascii="Calibri" w:hAnsi="Calibri"/>
                <w:b/>
                <w:i w:val="0"/>
                <w:color w:val="FFFFFF"/>
                <w:sz w:val="19"/>
              </w:rPr>
              <w:t>Notes</w:t>
            </w:r>
          </w:p>
        </w:tc>
      </w:tr>
      <w:tr>
        <w:tc>
          <w:tcPr>
            <w:tcW w:type="dxa" w:w="3024"/>
            <w:shd w:val="clear" w:color="auto" w:fill="F0F4FA"/>
            <w:vAlign w:val="center"/>
          </w:tcPr>
          <w:p>
            <w:pPr>
              <w:spacing w:before="40" w:after="40"/>
            </w:pPr>
            <w:r>
              <w:rPr>
                <w:rFonts w:ascii="Calibri" w:hAnsi="Calibri"/>
                <w:b w:val="0"/>
                <w:i w:val="0"/>
                <w:color w:val="1A2A42"/>
                <w:sz w:val="19"/>
              </w:rPr>
              <w:t>Web UI</w:t>
            </w:r>
          </w:p>
        </w:tc>
        <w:tc>
          <w:tcPr>
            <w:tcW w:type="dxa" w:w="3024"/>
            <w:shd w:val="clear" w:color="auto" w:fill="F0F4FA"/>
            <w:vAlign w:val="center"/>
          </w:tcPr>
          <w:p>
            <w:pPr>
              <w:spacing w:before="40" w:after="40"/>
            </w:pPr>
            <w:r>
              <w:rPr>
                <w:rFonts w:ascii="Calibri" w:hAnsi="Calibri"/>
                <w:b w:val="0"/>
                <w:i w:val="0"/>
                <w:color w:val="1A2A42"/>
                <w:sz w:val="19"/>
              </w:rPr>
              <w:t>Inline HTML/CSS/JS (3-panel)</w:t>
            </w:r>
          </w:p>
        </w:tc>
        <w:tc>
          <w:tcPr>
            <w:tcW w:type="dxa" w:w="3024"/>
            <w:shd w:val="clear" w:color="auto" w:fill="F0F4FA"/>
            <w:vAlign w:val="center"/>
          </w:tcPr>
          <w:p>
            <w:pPr>
              <w:spacing w:before="40" w:after="40"/>
            </w:pPr>
            <w:r>
              <w:rPr>
                <w:rFonts w:ascii="Calibri" w:hAnsi="Calibri"/>
                <w:b w:val="0"/>
                <w:i w:val="0"/>
                <w:color w:val="1A2A42"/>
                <w:sz w:val="19"/>
              </w:rPr>
              <w:t>Served by FastAPI GET /; no separate frontend server</w:t>
            </w:r>
          </w:p>
        </w:tc>
      </w:tr>
      <w:tr>
        <w:tc>
          <w:tcPr>
            <w:tcW w:type="dxa" w:w="3024"/>
            <w:shd w:val="clear" w:color="auto" w:fill="FFFFFF"/>
            <w:vAlign w:val="center"/>
          </w:tcPr>
          <w:p>
            <w:pPr>
              <w:spacing w:before="40" w:after="40"/>
            </w:pPr>
            <w:r>
              <w:rPr>
                <w:rFonts w:ascii="Calibri" w:hAnsi="Calibri"/>
                <w:b w:val="0"/>
                <w:i w:val="0"/>
                <w:color w:val="1A2A42"/>
                <w:sz w:val="19"/>
              </w:rPr>
              <w:t>Charts</w:t>
            </w:r>
          </w:p>
        </w:tc>
        <w:tc>
          <w:tcPr>
            <w:tcW w:type="dxa" w:w="3024"/>
            <w:shd w:val="clear" w:color="auto" w:fill="FFFFFF"/>
            <w:vAlign w:val="center"/>
          </w:tcPr>
          <w:p>
            <w:pPr>
              <w:spacing w:before="40" w:after="40"/>
            </w:pPr>
            <w:r>
              <w:rPr>
                <w:rFonts w:ascii="Calibri" w:hAnsi="Calibri"/>
                <w:b w:val="0"/>
                <w:i w:val="0"/>
                <w:color w:val="1A2A42"/>
                <w:sz w:val="19"/>
              </w:rPr>
              <w:t>Vega-Lite 5 + Vega-Embed</w:t>
            </w:r>
          </w:p>
        </w:tc>
        <w:tc>
          <w:tcPr>
            <w:tcW w:type="dxa" w:w="3024"/>
            <w:shd w:val="clear" w:color="auto" w:fill="FFFFFF"/>
            <w:vAlign w:val="center"/>
          </w:tcPr>
          <w:p>
            <w:pPr>
              <w:spacing w:before="40" w:after="40"/>
            </w:pPr>
            <w:r>
              <w:rPr>
                <w:rFonts w:ascii="Calibri" w:hAnsi="Calibri"/>
                <w:b w:val="0"/>
                <w:i w:val="0"/>
                <w:color w:val="1A2A42"/>
                <w:sz w:val="19"/>
              </w:rPr>
              <w:t>CDN-loaded; JSON spec generated by VisualizationSelector</w:t>
            </w:r>
          </w:p>
        </w:tc>
      </w:tr>
      <w:tr>
        <w:tc>
          <w:tcPr>
            <w:tcW w:type="dxa" w:w="3024"/>
            <w:shd w:val="clear" w:color="auto" w:fill="F0F4FA"/>
            <w:vAlign w:val="center"/>
          </w:tcPr>
          <w:p>
            <w:pPr>
              <w:spacing w:before="40" w:after="40"/>
            </w:pPr>
            <w:r>
              <w:rPr>
                <w:rFonts w:ascii="Calibri" w:hAnsi="Calibri"/>
                <w:b w:val="0"/>
                <w:i w:val="0"/>
                <w:color w:val="1A2A42"/>
                <w:sz w:val="19"/>
              </w:rPr>
              <w:t>Theme</w:t>
            </w:r>
          </w:p>
        </w:tc>
        <w:tc>
          <w:tcPr>
            <w:tcW w:type="dxa" w:w="3024"/>
            <w:shd w:val="clear" w:color="auto" w:fill="F0F4FA"/>
            <w:vAlign w:val="center"/>
          </w:tcPr>
          <w:p>
            <w:pPr>
              <w:spacing w:before="40" w:after="40"/>
            </w:pPr>
            <w:r>
              <w:rPr>
                <w:rFonts w:ascii="Calibri" w:hAnsi="Calibri"/>
                <w:b w:val="0"/>
                <w:i w:val="0"/>
                <w:color w:val="1A2A42"/>
                <w:sz w:val="19"/>
              </w:rPr>
              <w:t>CSS custom properties</w:t>
            </w:r>
          </w:p>
        </w:tc>
        <w:tc>
          <w:tcPr>
            <w:tcW w:type="dxa" w:w="3024"/>
            <w:shd w:val="clear" w:color="auto" w:fill="F0F4FA"/>
            <w:vAlign w:val="center"/>
          </w:tcPr>
          <w:p>
            <w:pPr>
              <w:spacing w:before="40" w:after="40"/>
            </w:pPr>
            <w:r>
              <w:rPr>
                <w:rFonts w:ascii="Calibri" w:hAnsi="Calibri"/>
                <w:b w:val="0"/>
                <w:i w:val="0"/>
                <w:color w:val="1A2A42"/>
                <w:sz w:val="19"/>
              </w:rPr>
              <w:t>Dark (#0f1117 background) with light-mode fallback</w:t>
            </w:r>
          </w:p>
        </w:tc>
      </w:tr>
      <w:tr>
        <w:tc>
          <w:tcPr>
            <w:tcW w:type="dxa" w:w="3024"/>
            <w:shd w:val="clear" w:color="auto" w:fill="FFFFFF"/>
            <w:vAlign w:val="center"/>
          </w:tcPr>
          <w:p>
            <w:pPr>
              <w:spacing w:before="40" w:after="40"/>
            </w:pPr>
            <w:r>
              <w:rPr>
                <w:rFonts w:ascii="Calibri" w:hAnsi="Calibri"/>
                <w:b w:val="0"/>
                <w:i w:val="0"/>
                <w:color w:val="1A2A42"/>
                <w:sz w:val="19"/>
              </w:rPr>
              <w:t>SQL Panel</w:t>
            </w:r>
          </w:p>
        </w:tc>
        <w:tc>
          <w:tcPr>
            <w:tcW w:type="dxa" w:w="3024"/>
            <w:shd w:val="clear" w:color="auto" w:fill="FFFFFF"/>
            <w:vAlign w:val="center"/>
          </w:tcPr>
          <w:p>
            <w:pPr>
              <w:spacing w:before="40" w:after="40"/>
            </w:pPr>
            <w:r>
              <w:rPr>
                <w:rFonts w:ascii="Calibri" w:hAnsi="Calibri"/>
                <w:b w:val="0"/>
                <w:i w:val="0"/>
                <w:color w:val="1A2A42"/>
                <w:sz w:val="19"/>
              </w:rPr>
              <w:t>Syntax-highlighted &lt;pre&gt;</w:t>
            </w:r>
          </w:p>
        </w:tc>
        <w:tc>
          <w:tcPr>
            <w:tcW w:type="dxa" w:w="3024"/>
            <w:shd w:val="clear" w:color="auto" w:fill="FFFFFF"/>
            <w:vAlign w:val="center"/>
          </w:tcPr>
          <w:p>
            <w:pPr>
              <w:spacing w:before="40" w:after="40"/>
            </w:pPr>
            <w:r>
              <w:rPr>
                <w:rFonts w:ascii="Calibri" w:hAnsi="Calibri"/>
                <w:b w:val="0"/>
                <w:i w:val="0"/>
                <w:color w:val="1A2A42"/>
                <w:sz w:val="19"/>
              </w:rPr>
              <w:t>Right panel shows generated SQL + schema explorer</w:t>
            </w:r>
          </w:p>
        </w:tc>
      </w:tr>
    </w:tbl>
    <w:p>
      <w:pPr>
        <w:spacing w:before="240" w:after="60"/>
      </w:pPr>
      <w:r>
        <w:rPr>
          <w:rFonts w:ascii="Cambria" w:hAnsi="Cambria"/>
          <w:b/>
          <w:i w:val="0"/>
          <w:color w:val="3B8BEB"/>
          <w:sz w:val="24"/>
        </w:rPr>
        <w:t>3.6 Infrastructure &amp; Observability</w:t>
      </w: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0C1A2E"/>
            <w:vAlign w:val="center"/>
          </w:tcPr>
          <w:p>
            <w:pPr>
              <w:spacing w:before="60" w:after="60"/>
            </w:pPr>
            <w:r>
              <w:rPr>
                <w:rFonts w:ascii="Calibri" w:hAnsi="Calibri"/>
                <w:b/>
                <w:i w:val="0"/>
                <w:color w:val="FFFFFF"/>
                <w:sz w:val="19"/>
              </w:rPr>
              <w:t>Component</w:t>
            </w:r>
          </w:p>
        </w:tc>
        <w:tc>
          <w:tcPr>
            <w:tcW w:type="dxa" w:w="2880"/>
            <w:shd w:val="clear" w:color="auto" w:fill="0C1A2E"/>
            <w:vAlign w:val="center"/>
          </w:tcPr>
          <w:p>
            <w:pPr>
              <w:spacing w:before="60" w:after="60"/>
            </w:pPr>
            <w:r>
              <w:rPr>
                <w:rFonts w:ascii="Calibri" w:hAnsi="Calibri"/>
                <w:b/>
                <w:i w:val="0"/>
                <w:color w:val="FFFFFF"/>
                <w:sz w:val="19"/>
              </w:rPr>
              <w:t>Technology</w:t>
            </w:r>
          </w:p>
        </w:tc>
        <w:tc>
          <w:tcPr>
            <w:tcW w:type="dxa" w:w="4896"/>
            <w:shd w:val="clear" w:color="auto" w:fill="0C1A2E"/>
            <w:vAlign w:val="center"/>
          </w:tcPr>
          <w:p>
            <w:pPr>
              <w:spacing w:before="60" w:after="60"/>
            </w:pPr>
            <w:r>
              <w:rPr>
                <w:rFonts w:ascii="Calibri" w:hAnsi="Calibri"/>
                <w:b/>
                <w:i w:val="0"/>
                <w:color w:val="FFFFFF"/>
                <w:sz w:val="19"/>
              </w:rPr>
              <w:t>Role</w:t>
            </w:r>
          </w:p>
        </w:tc>
      </w:tr>
      <w:tr>
        <w:tc>
          <w:tcPr>
            <w:tcW w:type="dxa" w:w="3024"/>
            <w:shd w:val="clear" w:color="auto" w:fill="F0F4FA"/>
            <w:vAlign w:val="center"/>
          </w:tcPr>
          <w:p>
            <w:pPr>
              <w:spacing w:before="40" w:after="40"/>
            </w:pPr>
            <w:r>
              <w:rPr>
                <w:rFonts w:ascii="Calibri" w:hAnsi="Calibri"/>
                <w:b w:val="0"/>
                <w:i w:val="0"/>
                <w:color w:val="1A2A42"/>
                <w:sz w:val="19"/>
              </w:rPr>
              <w:t>Containerisation</w:t>
            </w:r>
          </w:p>
        </w:tc>
        <w:tc>
          <w:tcPr>
            <w:tcW w:type="dxa" w:w="3024"/>
            <w:shd w:val="clear" w:color="auto" w:fill="F0F4FA"/>
            <w:vAlign w:val="center"/>
          </w:tcPr>
          <w:p>
            <w:pPr>
              <w:spacing w:before="40" w:after="40"/>
            </w:pPr>
            <w:r>
              <w:rPr>
                <w:rFonts w:ascii="Calibri" w:hAnsi="Calibri"/>
                <w:b w:val="0"/>
                <w:i w:val="0"/>
                <w:color w:val="1A2A42"/>
                <w:sz w:val="19"/>
              </w:rPr>
              <w:t>Docker + docker-compose</w:t>
            </w:r>
          </w:p>
        </w:tc>
        <w:tc>
          <w:tcPr>
            <w:tcW w:type="dxa" w:w="3024"/>
            <w:shd w:val="clear" w:color="auto" w:fill="F0F4FA"/>
            <w:vAlign w:val="center"/>
          </w:tcPr>
          <w:p>
            <w:pPr>
              <w:spacing w:before="40" w:after="40"/>
            </w:pPr>
            <w:r>
              <w:rPr>
                <w:rFonts w:ascii="Calibri" w:hAnsi="Calibri"/>
                <w:b w:val="0"/>
                <w:i w:val="0"/>
                <w:color w:val="1A2A42"/>
                <w:sz w:val="19"/>
              </w:rPr>
              <w:t>Single-container deployment; compose for DB sidecar</w:t>
            </w:r>
          </w:p>
        </w:tc>
      </w:tr>
      <w:tr>
        <w:tc>
          <w:tcPr>
            <w:tcW w:type="dxa" w:w="3024"/>
            <w:shd w:val="clear" w:color="auto" w:fill="FFFFFF"/>
            <w:vAlign w:val="center"/>
          </w:tcPr>
          <w:p>
            <w:pPr>
              <w:spacing w:before="40" w:after="40"/>
            </w:pPr>
            <w:r>
              <w:rPr>
                <w:rFonts w:ascii="Calibri" w:hAnsi="Calibri"/>
                <w:b w:val="0"/>
                <w:i w:val="0"/>
                <w:color w:val="1A2A42"/>
                <w:sz w:val="19"/>
              </w:rPr>
              <w:t>Tracing</w:t>
            </w:r>
          </w:p>
        </w:tc>
        <w:tc>
          <w:tcPr>
            <w:tcW w:type="dxa" w:w="3024"/>
            <w:shd w:val="clear" w:color="auto" w:fill="FFFFFF"/>
            <w:vAlign w:val="center"/>
          </w:tcPr>
          <w:p>
            <w:pPr>
              <w:spacing w:before="40" w:after="40"/>
            </w:pPr>
            <w:r>
              <w:rPr>
                <w:rFonts w:ascii="Calibri" w:hAnsi="Calibri"/>
                <w:b w:val="0"/>
                <w:i w:val="0"/>
                <w:color w:val="1A2A42"/>
                <w:sz w:val="19"/>
              </w:rPr>
              <w:t>OpenTelemetry SDK</w:t>
            </w:r>
          </w:p>
        </w:tc>
        <w:tc>
          <w:tcPr>
            <w:tcW w:type="dxa" w:w="3024"/>
            <w:shd w:val="clear" w:color="auto" w:fill="FFFFFF"/>
            <w:vAlign w:val="center"/>
          </w:tcPr>
          <w:p>
            <w:pPr>
              <w:spacing w:before="40" w:after="40"/>
            </w:pPr>
            <w:r>
              <w:rPr>
                <w:rFonts w:ascii="Calibri" w:hAnsi="Calibri"/>
                <w:b w:val="0"/>
                <w:i w:val="0"/>
                <w:color w:val="1A2A42"/>
                <w:sz w:val="19"/>
              </w:rPr>
              <w:t>Distributed spans across entire request pipeline</w:t>
            </w:r>
          </w:p>
        </w:tc>
      </w:tr>
      <w:tr>
        <w:tc>
          <w:tcPr>
            <w:tcW w:type="dxa" w:w="3024"/>
            <w:shd w:val="clear" w:color="auto" w:fill="F0F4FA"/>
            <w:vAlign w:val="center"/>
          </w:tcPr>
          <w:p>
            <w:pPr>
              <w:spacing w:before="40" w:after="40"/>
            </w:pPr>
            <w:r>
              <w:rPr>
                <w:rFonts w:ascii="Calibri" w:hAnsi="Calibri"/>
                <w:b w:val="0"/>
                <w:i w:val="0"/>
                <w:color w:val="1A2A42"/>
                <w:sz w:val="19"/>
              </w:rPr>
              <w:t>LLM Observability</w:t>
            </w:r>
          </w:p>
        </w:tc>
        <w:tc>
          <w:tcPr>
            <w:tcW w:type="dxa" w:w="3024"/>
            <w:shd w:val="clear" w:color="auto" w:fill="F0F4FA"/>
            <w:vAlign w:val="center"/>
          </w:tcPr>
          <w:p>
            <w:pPr>
              <w:spacing w:before="40" w:after="40"/>
            </w:pPr>
            <w:r>
              <w:rPr>
                <w:rFonts w:ascii="Calibri" w:hAnsi="Calibri"/>
                <w:b w:val="0"/>
                <w:i w:val="0"/>
                <w:color w:val="1A2A42"/>
                <w:sz w:val="19"/>
              </w:rPr>
              <w:t>Langfuse</w:t>
            </w:r>
          </w:p>
        </w:tc>
        <w:tc>
          <w:tcPr>
            <w:tcW w:type="dxa" w:w="3024"/>
            <w:shd w:val="clear" w:color="auto" w:fill="F0F4FA"/>
            <w:vAlign w:val="center"/>
          </w:tcPr>
          <w:p>
            <w:pPr>
              <w:spacing w:before="40" w:after="40"/>
            </w:pPr>
            <w:r>
              <w:rPr>
                <w:rFonts w:ascii="Calibri" w:hAnsi="Calibri"/>
                <w:b w:val="0"/>
                <w:i w:val="0"/>
                <w:color w:val="1A2A42"/>
                <w:sz w:val="19"/>
              </w:rPr>
              <w:t>Prompt version, token cost, LLM latency tracking</w:t>
            </w:r>
          </w:p>
        </w:tc>
      </w:tr>
      <w:tr>
        <w:tc>
          <w:tcPr>
            <w:tcW w:type="dxa" w:w="3024"/>
            <w:shd w:val="clear" w:color="auto" w:fill="FFFFFF"/>
            <w:vAlign w:val="center"/>
          </w:tcPr>
          <w:p>
            <w:pPr>
              <w:spacing w:before="40" w:after="40"/>
            </w:pPr>
            <w:r>
              <w:rPr>
                <w:rFonts w:ascii="Calibri" w:hAnsi="Calibri"/>
                <w:b w:val="0"/>
                <w:i w:val="0"/>
                <w:color w:val="1A2A42"/>
                <w:sz w:val="19"/>
              </w:rPr>
              <w:t>Health checks</w:t>
            </w:r>
          </w:p>
        </w:tc>
        <w:tc>
          <w:tcPr>
            <w:tcW w:type="dxa" w:w="3024"/>
            <w:shd w:val="clear" w:color="auto" w:fill="FFFFFF"/>
            <w:vAlign w:val="center"/>
          </w:tcPr>
          <w:p>
            <w:pPr>
              <w:spacing w:before="40" w:after="40"/>
            </w:pPr>
            <w:r>
              <w:rPr>
                <w:rFonts w:ascii="Calibri" w:hAnsi="Calibri"/>
                <w:b w:val="0"/>
                <w:i w:val="0"/>
                <w:color w:val="1A2A42"/>
                <w:sz w:val="19"/>
              </w:rPr>
              <w:t>FastAPI /health route</w:t>
            </w:r>
          </w:p>
        </w:tc>
        <w:tc>
          <w:tcPr>
            <w:tcW w:type="dxa" w:w="3024"/>
            <w:shd w:val="clear" w:color="auto" w:fill="FFFFFF"/>
            <w:vAlign w:val="center"/>
          </w:tcPr>
          <w:p>
            <w:pPr>
              <w:spacing w:before="40" w:after="40"/>
            </w:pPr>
            <w:r>
              <w:rPr>
                <w:rFonts w:ascii="Calibri" w:hAnsi="Calibri"/>
                <w:b w:val="0"/>
                <w:i w:val="0"/>
                <w:color w:val="1A2A42"/>
                <w:sz w:val="19"/>
              </w:rPr>
              <w:t>Liveness + database connectivity probe</w:t>
            </w:r>
          </w:p>
        </w:tc>
      </w:tr>
      <w:tr>
        <w:tc>
          <w:tcPr>
            <w:tcW w:type="dxa" w:w="3024"/>
            <w:shd w:val="clear" w:color="auto" w:fill="F0F4FA"/>
            <w:vAlign w:val="center"/>
          </w:tcPr>
          <w:p>
            <w:pPr>
              <w:spacing w:before="40" w:after="40"/>
            </w:pPr>
            <w:r>
              <w:rPr>
                <w:rFonts w:ascii="Calibri" w:hAnsi="Calibri"/>
                <w:b w:val="0"/>
                <w:i w:val="0"/>
                <w:color w:val="1A2A42"/>
                <w:sz w:val="19"/>
              </w:rPr>
              <w:t>Secrets</w:t>
            </w:r>
          </w:p>
        </w:tc>
        <w:tc>
          <w:tcPr>
            <w:tcW w:type="dxa" w:w="3024"/>
            <w:shd w:val="clear" w:color="auto" w:fill="F0F4FA"/>
            <w:vAlign w:val="center"/>
          </w:tcPr>
          <w:p>
            <w:pPr>
              <w:spacing w:before="40" w:after="40"/>
            </w:pPr>
            <w:r>
              <w:rPr>
                <w:rFonts w:ascii="Calibri" w:hAnsi="Calibri"/>
                <w:b w:val="0"/>
                <w:i w:val="0"/>
                <w:color w:val="1A2A42"/>
                <w:sz w:val="19"/>
              </w:rPr>
              <w:t>Environment variables</w:t>
            </w:r>
          </w:p>
        </w:tc>
        <w:tc>
          <w:tcPr>
            <w:tcW w:type="dxa" w:w="3024"/>
            <w:shd w:val="clear" w:color="auto" w:fill="F0F4FA"/>
            <w:vAlign w:val="center"/>
          </w:tcPr>
          <w:p>
            <w:pPr>
              <w:spacing w:before="40" w:after="40"/>
            </w:pPr>
            <w:r>
              <w:rPr>
                <w:rFonts w:ascii="Calibri" w:hAnsi="Calibri"/>
                <w:b w:val="0"/>
                <w:i w:val="0"/>
                <w:color w:val="1A2A42"/>
                <w:sz w:val="19"/>
              </w:rPr>
              <w:t>No credentials in code, logs, or LLM prompts</w:t>
            </w:r>
          </w:p>
        </w:tc>
      </w:tr>
    </w:tbl>
    <w:p>
      <w:pPr>
        <w:spacing w:before="120" w:after="120"/>
        <w:pBdr>
          <w:bottom w:val="single" w:sz="4" w:color="D0D8E8"/>
        </w:pBdr>
      </w:pPr>
    </w:p>
    <w:p>
      <w:r>
        <w:br w:type="page"/>
      </w:r>
    </w:p>
    <w:p>
      <w:pPr>
        <w:spacing w:before="360" w:after="80"/>
        <w:pBdr>
          <w:left w:val="single" w:sz="24" w:color="00C896" w:space="8"/>
        </w:pBdr>
        <w:ind w:left="216"/>
      </w:pPr>
      <w:r>
        <w:rPr>
          <w:rFonts w:ascii="Cambria" w:hAnsi="Cambria"/>
          <w:b/>
          <w:i w:val="0"/>
          <w:color w:val="0C1A2E"/>
          <w:sz w:val="30"/>
        </w:rPr>
        <w:t>4. End-to-End Architecture Flow</w:t>
      </w:r>
    </w:p>
    <w:p>
      <w:pPr>
        <w:spacing w:before="40" w:after="80"/>
      </w:pPr>
      <w:r>
        <w:rPr>
          <w:rFonts w:ascii="Calibri" w:hAnsi="Calibri"/>
          <w:b w:val="0"/>
          <w:i w:val="0"/>
          <w:color w:val="1A2A42"/>
          <w:sz w:val="20"/>
        </w:rPr>
        <w:t>The following describes the complete path of a user request from the browser through the system and back. The pipeline has ten logical phases. Phases 1-3 are always executed. Phases 4-10 are executed in full for COMPLEX/VERY_COMPLEX requests, and in an abbreviated fast path for SIMPLE requests.</w:t>
      </w:r>
    </w:p>
    <w:p>
      <w:pPr>
        <w:spacing w:before="240" w:after="60"/>
      </w:pPr>
      <w:r>
        <w:rPr>
          <w:rFonts w:ascii="Cambria" w:hAnsi="Cambria"/>
          <w:b/>
          <w:i w:val="0"/>
          <w:color w:val="3B8BEB"/>
          <w:sz w:val="24"/>
        </w:rPr>
        <w:t>Phase Overview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720"/>
            <w:shd w:val="clear" w:color="auto" w:fill="0C1A2E"/>
            <w:vAlign w:val="center"/>
          </w:tcPr>
          <w:p>
            <w:pPr>
              <w:spacing w:before="60" w:after="60"/>
            </w:pPr>
            <w:r>
              <w:rPr>
                <w:rFonts w:ascii="Calibri" w:hAnsi="Calibri"/>
                <w:b/>
                <w:i w:val="0"/>
                <w:color w:val="FFFFFF"/>
                <w:sz w:val="19"/>
              </w:rPr>
              <w:t>Phase</w:t>
            </w:r>
          </w:p>
        </w:tc>
        <w:tc>
          <w:tcPr>
            <w:tcW w:type="dxa" w:w="2592"/>
            <w:shd w:val="clear" w:color="auto" w:fill="0C1A2E"/>
            <w:vAlign w:val="center"/>
          </w:tcPr>
          <w:p>
            <w:pPr>
              <w:spacing w:before="60" w:after="60"/>
            </w:pPr>
            <w:r>
              <w:rPr>
                <w:rFonts w:ascii="Calibri" w:hAnsi="Calibri"/>
                <w:b/>
                <w:i w:val="0"/>
                <w:color w:val="FFFFFF"/>
                <w:sz w:val="19"/>
              </w:rPr>
              <w:t>Name</w:t>
            </w:r>
          </w:p>
        </w:tc>
        <w:tc>
          <w:tcPr>
            <w:tcW w:type="dxa" w:w="3312"/>
            <w:shd w:val="clear" w:color="auto" w:fill="0C1A2E"/>
            <w:vAlign w:val="center"/>
          </w:tcPr>
          <w:p>
            <w:pPr>
              <w:spacing w:before="60" w:after="60"/>
            </w:pPr>
            <w:r>
              <w:rPr>
                <w:rFonts w:ascii="Calibri" w:hAnsi="Calibri"/>
                <w:b/>
                <w:i w:val="0"/>
                <w:color w:val="FFFFFF"/>
                <w:sz w:val="19"/>
              </w:rPr>
              <w:t>Key Components</w:t>
            </w:r>
          </w:p>
        </w:tc>
        <w:tc>
          <w:tcPr>
            <w:tcW w:type="dxa" w:w="3600"/>
            <w:shd w:val="clear" w:color="auto" w:fill="0C1A2E"/>
            <w:vAlign w:val="center"/>
          </w:tcPr>
          <w:p>
            <w:pPr>
              <w:spacing w:before="60" w:after="60"/>
            </w:pPr>
            <w:r>
              <w:rPr>
                <w:rFonts w:ascii="Calibri" w:hAnsi="Calibri"/>
                <w:b/>
                <w:i w:val="0"/>
                <w:color w:val="FFFFFF"/>
                <w:sz w:val="19"/>
              </w:rPr>
              <w:t>Output</w:t>
            </w:r>
          </w:p>
        </w:tc>
      </w:tr>
      <w:tr>
        <w:tc>
          <w:tcPr>
            <w:tcW w:type="dxa" w:w="2268"/>
            <w:shd w:val="clear" w:color="auto" w:fill="F0F4FA"/>
            <w:vAlign w:val="center"/>
          </w:tcPr>
          <w:p>
            <w:pPr>
              <w:spacing w:before="40" w:after="40"/>
            </w:pPr>
            <w:r>
              <w:rPr>
                <w:rFonts w:ascii="Calibri" w:hAnsi="Calibri"/>
                <w:b w:val="0"/>
                <w:i w:val="0"/>
                <w:color w:val="1A2A42"/>
                <w:sz w:val="19"/>
              </w:rPr>
              <w:t>1</w:t>
            </w:r>
          </w:p>
        </w:tc>
        <w:tc>
          <w:tcPr>
            <w:tcW w:type="dxa" w:w="2268"/>
            <w:shd w:val="clear" w:color="auto" w:fill="F0F4FA"/>
            <w:vAlign w:val="center"/>
          </w:tcPr>
          <w:p>
            <w:pPr>
              <w:spacing w:before="40" w:after="40"/>
            </w:pPr>
            <w:r>
              <w:rPr>
                <w:rFonts w:ascii="Calibri" w:hAnsi="Calibri"/>
                <w:b w:val="0"/>
                <w:i w:val="0"/>
                <w:color w:val="1A2A42"/>
                <w:sz w:val="19"/>
              </w:rPr>
              <w:t>Request Ingestion &amp; Auth</w:t>
            </w:r>
          </w:p>
        </w:tc>
        <w:tc>
          <w:tcPr>
            <w:tcW w:type="dxa" w:w="2268"/>
            <w:shd w:val="clear" w:color="auto" w:fill="F0F4FA"/>
            <w:vAlign w:val="center"/>
          </w:tcPr>
          <w:p>
            <w:pPr>
              <w:spacing w:before="40" w:after="40"/>
            </w:pPr>
            <w:r>
              <w:rPr>
                <w:rFonts w:ascii="Calibri" w:hAnsi="Calibri"/>
                <w:b w:val="0"/>
                <w:i w:val="0"/>
                <w:color w:val="1A2A42"/>
                <w:sz w:val="19"/>
              </w:rPr>
              <w:t>FastAPI, RBAC middleware, Rate Limiter</w:t>
            </w:r>
          </w:p>
        </w:tc>
        <w:tc>
          <w:tcPr>
            <w:tcW w:type="dxa" w:w="2268"/>
            <w:shd w:val="clear" w:color="auto" w:fill="F0F4FA"/>
            <w:vAlign w:val="center"/>
          </w:tcPr>
          <w:p>
            <w:pPr>
              <w:spacing w:before="40" w:after="40"/>
            </w:pPr>
            <w:r>
              <w:rPr>
                <w:rFonts w:ascii="Calibri" w:hAnsi="Calibri"/>
                <w:b w:val="0"/>
                <w:i w:val="0"/>
                <w:color w:val="1A2A42"/>
                <w:sz w:val="19"/>
              </w:rPr>
              <w:t>Authenticated AnalysisRequest</w:t>
            </w:r>
          </w:p>
        </w:tc>
      </w:tr>
      <w:tr>
        <w:tc>
          <w:tcPr>
            <w:tcW w:type="dxa" w:w="2268"/>
            <w:shd w:val="clear" w:color="auto" w:fill="FFFFFF"/>
            <w:vAlign w:val="center"/>
          </w:tcPr>
          <w:p>
            <w:pPr>
              <w:spacing w:before="40" w:after="40"/>
            </w:pPr>
            <w:r>
              <w:rPr>
                <w:rFonts w:ascii="Calibri" w:hAnsi="Calibri"/>
                <w:b w:val="0"/>
                <w:i w:val="0"/>
                <w:color w:val="1A2A42"/>
                <w:sz w:val="19"/>
              </w:rPr>
              <w:t>2</w:t>
            </w:r>
          </w:p>
        </w:tc>
        <w:tc>
          <w:tcPr>
            <w:tcW w:type="dxa" w:w="2268"/>
            <w:shd w:val="clear" w:color="auto" w:fill="FFFFFF"/>
            <w:vAlign w:val="center"/>
          </w:tcPr>
          <w:p>
            <w:pPr>
              <w:spacing w:before="40" w:after="40"/>
            </w:pPr>
            <w:r>
              <w:rPr>
                <w:rFonts w:ascii="Calibri" w:hAnsi="Calibri"/>
                <w:b w:val="0"/>
                <w:i w:val="0"/>
                <w:color w:val="1A2A42"/>
                <w:sz w:val="19"/>
              </w:rPr>
              <w:t>Complexity Routing</w:t>
            </w:r>
          </w:p>
        </w:tc>
        <w:tc>
          <w:tcPr>
            <w:tcW w:type="dxa" w:w="2268"/>
            <w:shd w:val="clear" w:color="auto" w:fill="FFFFFF"/>
            <w:vAlign w:val="center"/>
          </w:tcPr>
          <w:p>
            <w:pPr>
              <w:spacing w:before="40" w:after="40"/>
            </w:pPr>
            <w:r>
              <w:rPr>
                <w:rFonts w:ascii="Calibri" w:hAnsi="Calibri"/>
                <w:b w:val="0"/>
                <w:i w:val="0"/>
                <w:color w:val="1A2A42"/>
                <w:sz w:val="19"/>
              </w:rPr>
              <w:t>ComplexityRouter, Claude Haiku</w:t>
            </w:r>
          </w:p>
        </w:tc>
        <w:tc>
          <w:tcPr>
            <w:tcW w:type="dxa" w:w="2268"/>
            <w:shd w:val="clear" w:color="auto" w:fill="FFFFFF"/>
            <w:vAlign w:val="center"/>
          </w:tcPr>
          <w:p>
            <w:pPr>
              <w:spacing w:before="40" w:after="40"/>
            </w:pPr>
            <w:r>
              <w:rPr>
                <w:rFonts w:ascii="Calibri" w:hAnsi="Calibri"/>
                <w:b w:val="0"/>
                <w:i w:val="0"/>
                <w:color w:val="1A2A42"/>
                <w:sz w:val="19"/>
              </w:rPr>
              <w:t>Tier: SIMPLE / ANALYTICAL / COMPLEX / VERY_COMPLEX</w:t>
            </w:r>
          </w:p>
        </w:tc>
      </w:tr>
      <w:tr>
        <w:tc>
          <w:tcPr>
            <w:tcW w:type="dxa" w:w="2268"/>
            <w:shd w:val="clear" w:color="auto" w:fill="F0F4FA"/>
            <w:vAlign w:val="center"/>
          </w:tcPr>
          <w:p>
            <w:pPr>
              <w:spacing w:before="40" w:after="40"/>
            </w:pPr>
            <w:r>
              <w:rPr>
                <w:rFonts w:ascii="Calibri" w:hAnsi="Calibri"/>
                <w:b w:val="0"/>
                <w:i w:val="0"/>
                <w:color w:val="1A2A42"/>
                <w:sz w:val="19"/>
              </w:rPr>
              <w:t>3</w:t>
            </w:r>
          </w:p>
        </w:tc>
        <w:tc>
          <w:tcPr>
            <w:tcW w:type="dxa" w:w="2268"/>
            <w:shd w:val="clear" w:color="auto" w:fill="F0F4FA"/>
            <w:vAlign w:val="center"/>
          </w:tcPr>
          <w:p>
            <w:pPr>
              <w:spacing w:before="40" w:after="40"/>
            </w:pPr>
            <w:r>
              <w:rPr>
                <w:rFonts w:ascii="Calibri" w:hAnsi="Calibri"/>
                <w:b w:val="0"/>
                <w:i w:val="0"/>
                <w:color w:val="1A2A42"/>
                <w:sz w:val="19"/>
              </w:rPr>
              <w:t>Intent Extraction</w:t>
            </w:r>
          </w:p>
        </w:tc>
        <w:tc>
          <w:tcPr>
            <w:tcW w:type="dxa" w:w="2268"/>
            <w:shd w:val="clear" w:color="auto" w:fill="F0F4FA"/>
            <w:vAlign w:val="center"/>
          </w:tcPr>
          <w:p>
            <w:pPr>
              <w:spacing w:before="40" w:after="40"/>
            </w:pPr>
            <w:r>
              <w:rPr>
                <w:rFonts w:ascii="Calibri" w:hAnsi="Calibri"/>
                <w:b w:val="0"/>
                <w:i w:val="0"/>
                <w:color w:val="1A2A42"/>
                <w:sz w:val="19"/>
              </w:rPr>
              <w:t>IntentExtractor, PydanticAI, HybridRetriever</w:t>
            </w:r>
          </w:p>
        </w:tc>
        <w:tc>
          <w:tcPr>
            <w:tcW w:type="dxa" w:w="2268"/>
            <w:shd w:val="clear" w:color="auto" w:fill="F0F4FA"/>
            <w:vAlign w:val="center"/>
          </w:tcPr>
          <w:p>
            <w:pPr>
              <w:spacing w:before="40" w:after="40"/>
            </w:pPr>
            <w:r>
              <w:rPr>
                <w:rFonts w:ascii="Calibri" w:hAnsi="Calibri"/>
                <w:b w:val="0"/>
                <w:i w:val="0"/>
                <w:color w:val="1A2A42"/>
                <w:sz w:val="19"/>
              </w:rPr>
              <w:t>AnalyticalIntent + SemanticContext</w:t>
            </w:r>
          </w:p>
        </w:tc>
      </w:tr>
      <w:tr>
        <w:tc>
          <w:tcPr>
            <w:tcW w:type="dxa" w:w="2268"/>
            <w:shd w:val="clear" w:color="auto" w:fill="FFFFFF"/>
            <w:vAlign w:val="center"/>
          </w:tcPr>
          <w:p>
            <w:pPr>
              <w:spacing w:before="40" w:after="40"/>
            </w:pPr>
            <w:r>
              <w:rPr>
                <w:rFonts w:ascii="Calibri" w:hAnsi="Calibri"/>
                <w:b w:val="0"/>
                <w:i w:val="0"/>
                <w:color w:val="1A2A42"/>
                <w:sz w:val="19"/>
              </w:rPr>
              <w:t>4</w:t>
            </w:r>
          </w:p>
        </w:tc>
        <w:tc>
          <w:tcPr>
            <w:tcW w:type="dxa" w:w="2268"/>
            <w:shd w:val="clear" w:color="auto" w:fill="FFFFFF"/>
            <w:vAlign w:val="center"/>
          </w:tcPr>
          <w:p>
            <w:pPr>
              <w:spacing w:before="40" w:after="40"/>
            </w:pPr>
            <w:r>
              <w:rPr>
                <w:rFonts w:ascii="Calibri" w:hAnsi="Calibri"/>
                <w:b w:val="0"/>
                <w:i w:val="0"/>
                <w:color w:val="1A2A42"/>
                <w:sz w:val="19"/>
              </w:rPr>
              <w:t>AIR Compilation</w:t>
            </w:r>
          </w:p>
        </w:tc>
        <w:tc>
          <w:tcPr>
            <w:tcW w:type="dxa" w:w="2268"/>
            <w:shd w:val="clear" w:color="auto" w:fill="FFFFFF"/>
            <w:vAlign w:val="center"/>
          </w:tcPr>
          <w:p>
            <w:pPr>
              <w:spacing w:before="40" w:after="40"/>
            </w:pPr>
            <w:r>
              <w:rPr>
                <w:rFonts w:ascii="Calibri" w:hAnsi="Calibri"/>
                <w:b w:val="0"/>
                <w:i w:val="0"/>
                <w:color w:val="1A2A42"/>
                <w:sz w:val="19"/>
              </w:rPr>
              <w:t>AIR Compiler, SemanticEngine V2</w:t>
            </w:r>
          </w:p>
        </w:tc>
        <w:tc>
          <w:tcPr>
            <w:tcW w:type="dxa" w:w="2268"/>
            <w:shd w:val="clear" w:color="auto" w:fill="FFFFFF"/>
            <w:vAlign w:val="center"/>
          </w:tcPr>
          <w:p>
            <w:pPr>
              <w:spacing w:before="40" w:after="40"/>
            </w:pPr>
            <w:r>
              <w:rPr>
                <w:rFonts w:ascii="Calibri" w:hAnsi="Calibri"/>
                <w:b w:val="0"/>
                <w:i w:val="0"/>
                <w:color w:val="1A2A42"/>
                <w:sz w:val="19"/>
              </w:rPr>
              <w:t>AnalyticalIR (language-agnostic plan)</w:t>
            </w:r>
          </w:p>
        </w:tc>
      </w:tr>
      <w:tr>
        <w:tc>
          <w:tcPr>
            <w:tcW w:type="dxa" w:w="2268"/>
            <w:shd w:val="clear" w:color="auto" w:fill="F0F4FA"/>
            <w:vAlign w:val="center"/>
          </w:tcPr>
          <w:p>
            <w:pPr>
              <w:spacing w:before="40" w:after="40"/>
            </w:pPr>
            <w:r>
              <w:rPr>
                <w:rFonts w:ascii="Calibri" w:hAnsi="Calibri"/>
                <w:b w:val="0"/>
                <w:i w:val="0"/>
                <w:color w:val="1A2A42"/>
                <w:sz w:val="19"/>
              </w:rPr>
              <w:t>5</w:t>
            </w:r>
          </w:p>
        </w:tc>
        <w:tc>
          <w:tcPr>
            <w:tcW w:type="dxa" w:w="2268"/>
            <w:shd w:val="clear" w:color="auto" w:fill="F0F4FA"/>
            <w:vAlign w:val="center"/>
          </w:tcPr>
          <w:p>
            <w:pPr>
              <w:spacing w:before="40" w:after="40"/>
            </w:pPr>
            <w:r>
              <w:rPr>
                <w:rFonts w:ascii="Calibri" w:hAnsi="Calibri"/>
                <w:b w:val="0"/>
                <w:i w:val="0"/>
                <w:color w:val="1A2A42"/>
                <w:sz w:val="19"/>
              </w:rPr>
              <w:t>Tool Sequence Planning</w:t>
            </w:r>
          </w:p>
        </w:tc>
        <w:tc>
          <w:tcPr>
            <w:tcW w:type="dxa" w:w="2268"/>
            <w:shd w:val="clear" w:color="auto" w:fill="F0F4FA"/>
            <w:vAlign w:val="center"/>
          </w:tcPr>
          <w:p>
            <w:pPr>
              <w:spacing w:before="40" w:after="40"/>
            </w:pPr>
            <w:r>
              <w:rPr>
                <w:rFonts w:ascii="Calibri" w:hAnsi="Calibri"/>
                <w:b w:val="0"/>
                <w:i w:val="0"/>
                <w:color w:val="1A2A42"/>
                <w:sz w:val="19"/>
              </w:rPr>
              <w:t>Investigation Agent, InvestigationBudget</w:t>
            </w:r>
          </w:p>
        </w:tc>
        <w:tc>
          <w:tcPr>
            <w:tcW w:type="dxa" w:w="2268"/>
            <w:shd w:val="clear" w:color="auto" w:fill="F0F4FA"/>
            <w:vAlign w:val="center"/>
          </w:tcPr>
          <w:p>
            <w:pPr>
              <w:spacing w:before="40" w:after="40"/>
            </w:pPr>
            <w:r>
              <w:rPr>
                <w:rFonts w:ascii="Calibri" w:hAnsi="Calibri"/>
                <w:b w:val="0"/>
                <w:i w:val="0"/>
                <w:color w:val="1A2A42"/>
                <w:sz w:val="19"/>
              </w:rPr>
              <w:t>Ordered tool call sequence</w:t>
            </w:r>
          </w:p>
        </w:tc>
      </w:tr>
      <w:tr>
        <w:tc>
          <w:tcPr>
            <w:tcW w:type="dxa" w:w="2268"/>
            <w:shd w:val="clear" w:color="auto" w:fill="FFFFFF"/>
            <w:vAlign w:val="center"/>
          </w:tcPr>
          <w:p>
            <w:pPr>
              <w:spacing w:before="40" w:after="40"/>
            </w:pPr>
            <w:r>
              <w:rPr>
                <w:rFonts w:ascii="Calibri" w:hAnsi="Calibri"/>
                <w:b w:val="0"/>
                <w:i w:val="0"/>
                <w:color w:val="1A2A42"/>
                <w:sz w:val="19"/>
              </w:rPr>
              <w:t>6</w:t>
            </w:r>
          </w:p>
        </w:tc>
        <w:tc>
          <w:tcPr>
            <w:tcW w:type="dxa" w:w="2268"/>
            <w:shd w:val="clear" w:color="auto" w:fill="FFFFFF"/>
            <w:vAlign w:val="center"/>
          </w:tcPr>
          <w:p>
            <w:pPr>
              <w:spacing w:before="40" w:after="40"/>
            </w:pPr>
            <w:r>
              <w:rPr>
                <w:rFonts w:ascii="Calibri" w:hAnsi="Calibri"/>
                <w:b w:val="0"/>
                <w:i w:val="0"/>
                <w:color w:val="1A2A42"/>
                <w:sz w:val="19"/>
              </w:rPr>
              <w:t>SQL Generation &amp; Validation</w:t>
            </w:r>
          </w:p>
        </w:tc>
        <w:tc>
          <w:tcPr>
            <w:tcW w:type="dxa" w:w="2268"/>
            <w:shd w:val="clear" w:color="auto" w:fill="FFFFFF"/>
            <w:vAlign w:val="center"/>
          </w:tcPr>
          <w:p>
            <w:pPr>
              <w:spacing w:before="40" w:after="40"/>
            </w:pPr>
            <w:r>
              <w:rPr>
                <w:rFonts w:ascii="Calibri" w:hAnsi="Calibri"/>
                <w:b w:val="0"/>
                <w:i w:val="0"/>
                <w:color w:val="1A2A42"/>
                <w:sz w:val="19"/>
              </w:rPr>
              <w:t>QueryPlanner V2, SQLGenerator, SQLValidator</w:t>
            </w:r>
          </w:p>
        </w:tc>
        <w:tc>
          <w:tcPr>
            <w:tcW w:type="dxa" w:w="2268"/>
            <w:shd w:val="clear" w:color="auto" w:fill="FFFFFF"/>
            <w:vAlign w:val="center"/>
          </w:tcPr>
          <w:p>
            <w:pPr>
              <w:spacing w:before="40" w:after="40"/>
            </w:pPr>
            <w:r>
              <w:rPr>
                <w:rFonts w:ascii="Calibri" w:hAnsi="Calibri"/>
                <w:b w:val="0"/>
                <w:i w:val="0"/>
                <w:color w:val="1A2A42"/>
                <w:sz w:val="19"/>
              </w:rPr>
              <w:t>Validated, dialect-correct SQL</w:t>
            </w:r>
          </w:p>
        </w:tc>
      </w:tr>
      <w:tr>
        <w:tc>
          <w:tcPr>
            <w:tcW w:type="dxa" w:w="2268"/>
            <w:shd w:val="clear" w:color="auto" w:fill="F0F4FA"/>
            <w:vAlign w:val="center"/>
          </w:tcPr>
          <w:p>
            <w:pPr>
              <w:spacing w:before="40" w:after="40"/>
            </w:pPr>
            <w:r>
              <w:rPr>
                <w:rFonts w:ascii="Calibri" w:hAnsi="Calibri"/>
                <w:b w:val="0"/>
                <w:i w:val="0"/>
                <w:color w:val="1A2A42"/>
                <w:sz w:val="19"/>
              </w:rPr>
              <w:t>7</w:t>
            </w:r>
          </w:p>
        </w:tc>
        <w:tc>
          <w:tcPr>
            <w:tcW w:type="dxa" w:w="2268"/>
            <w:shd w:val="clear" w:color="auto" w:fill="F0F4FA"/>
            <w:vAlign w:val="center"/>
          </w:tcPr>
          <w:p>
            <w:pPr>
              <w:spacing w:before="40" w:after="40"/>
            </w:pPr>
            <w:r>
              <w:rPr>
                <w:rFonts w:ascii="Calibri" w:hAnsi="Calibri"/>
                <w:b w:val="0"/>
                <w:i w:val="0"/>
                <w:color w:val="1A2A42"/>
                <w:sz w:val="19"/>
              </w:rPr>
              <w:t>Tool Execution</w:t>
            </w:r>
          </w:p>
        </w:tc>
        <w:tc>
          <w:tcPr>
            <w:tcW w:type="dxa" w:w="2268"/>
            <w:shd w:val="clear" w:color="auto" w:fill="F0F4FA"/>
            <w:vAlign w:val="center"/>
          </w:tcPr>
          <w:p>
            <w:pPr>
              <w:spacing w:before="40" w:after="40"/>
            </w:pPr>
            <w:r>
              <w:rPr>
                <w:rFonts w:ascii="Calibri" w:hAnsi="Calibri"/>
                <w:b w:val="0"/>
                <w:i w:val="0"/>
                <w:color w:val="1A2A42"/>
                <w:sz w:val="19"/>
              </w:rPr>
              <w:t>11-tool Tool Registry, DatabaseAdapter</w:t>
            </w:r>
          </w:p>
        </w:tc>
        <w:tc>
          <w:tcPr>
            <w:tcW w:type="dxa" w:w="2268"/>
            <w:shd w:val="clear" w:color="auto" w:fill="F0F4FA"/>
            <w:vAlign w:val="center"/>
          </w:tcPr>
          <w:p>
            <w:pPr>
              <w:spacing w:before="40" w:after="40"/>
            </w:pPr>
            <w:r>
              <w:rPr>
                <w:rFonts w:ascii="Calibri" w:hAnsi="Calibri"/>
                <w:b w:val="0"/>
                <w:i w:val="0"/>
                <w:color w:val="1A2A42"/>
                <w:sz w:val="19"/>
              </w:rPr>
              <w:t>Raw results + Python analytics</w:t>
            </w:r>
          </w:p>
        </w:tc>
      </w:tr>
      <w:tr>
        <w:tc>
          <w:tcPr>
            <w:tcW w:type="dxa" w:w="2268"/>
            <w:shd w:val="clear" w:color="auto" w:fill="FFFFFF"/>
            <w:vAlign w:val="center"/>
          </w:tcPr>
          <w:p>
            <w:pPr>
              <w:spacing w:before="40" w:after="40"/>
            </w:pPr>
            <w:r>
              <w:rPr>
                <w:rFonts w:ascii="Calibri" w:hAnsi="Calibri"/>
                <w:b w:val="0"/>
                <w:i w:val="0"/>
                <w:color w:val="1A2A42"/>
                <w:sz w:val="19"/>
              </w:rPr>
              <w:t>8</w:t>
            </w:r>
          </w:p>
        </w:tc>
        <w:tc>
          <w:tcPr>
            <w:tcW w:type="dxa" w:w="2268"/>
            <w:shd w:val="clear" w:color="auto" w:fill="FFFFFF"/>
            <w:vAlign w:val="center"/>
          </w:tcPr>
          <w:p>
            <w:pPr>
              <w:spacing w:before="40" w:after="40"/>
            </w:pPr>
            <w:r>
              <w:rPr>
                <w:rFonts w:ascii="Calibri" w:hAnsi="Calibri"/>
                <w:b w:val="0"/>
                <w:i w:val="0"/>
                <w:color w:val="1A2A42"/>
                <w:sz w:val="19"/>
              </w:rPr>
              <w:t>Result Critique &amp; Replanning</w:t>
            </w:r>
          </w:p>
        </w:tc>
        <w:tc>
          <w:tcPr>
            <w:tcW w:type="dxa" w:w="2268"/>
            <w:shd w:val="clear" w:color="auto" w:fill="FFFFFF"/>
            <w:vAlign w:val="center"/>
          </w:tcPr>
          <w:p>
            <w:pPr>
              <w:spacing w:before="40" w:after="40"/>
            </w:pPr>
            <w:r>
              <w:rPr>
                <w:rFonts w:ascii="Calibri" w:hAnsi="Calibri"/>
                <w:b w:val="0"/>
                <w:i w:val="0"/>
                <w:color w:val="1A2A42"/>
                <w:sz w:val="19"/>
              </w:rPr>
              <w:t>ResultCritic, 9-Layer Validator</w:t>
            </w:r>
          </w:p>
        </w:tc>
        <w:tc>
          <w:tcPr>
            <w:tcW w:type="dxa" w:w="2268"/>
            <w:shd w:val="clear" w:color="auto" w:fill="FFFFFF"/>
            <w:vAlign w:val="center"/>
          </w:tcPr>
          <w:p>
            <w:pPr>
              <w:spacing w:before="40" w:after="40"/>
            </w:pPr>
            <w:r>
              <w:rPr>
                <w:rFonts w:ascii="Calibri" w:hAnsi="Calibri"/>
                <w:b w:val="0"/>
                <w:i w:val="0"/>
                <w:color w:val="1A2A42"/>
                <w:sz w:val="19"/>
              </w:rPr>
              <w:t>Pass/Replan decision</w:t>
            </w:r>
          </w:p>
        </w:tc>
      </w:tr>
      <w:tr>
        <w:tc>
          <w:tcPr>
            <w:tcW w:type="dxa" w:w="2268"/>
            <w:shd w:val="clear" w:color="auto" w:fill="F0F4FA"/>
            <w:vAlign w:val="center"/>
          </w:tcPr>
          <w:p>
            <w:pPr>
              <w:spacing w:before="40" w:after="40"/>
            </w:pPr>
            <w:r>
              <w:rPr>
                <w:rFonts w:ascii="Calibri" w:hAnsi="Calibri"/>
                <w:b w:val="0"/>
                <w:i w:val="0"/>
                <w:color w:val="1A2A42"/>
                <w:sz w:val="19"/>
              </w:rPr>
              <w:t>9</w:t>
            </w:r>
          </w:p>
        </w:tc>
        <w:tc>
          <w:tcPr>
            <w:tcW w:type="dxa" w:w="2268"/>
            <w:shd w:val="clear" w:color="auto" w:fill="F0F4FA"/>
            <w:vAlign w:val="center"/>
          </w:tcPr>
          <w:p>
            <w:pPr>
              <w:spacing w:before="40" w:after="40"/>
            </w:pPr>
            <w:r>
              <w:rPr>
                <w:rFonts w:ascii="Calibri" w:hAnsi="Calibri"/>
                <w:b w:val="0"/>
                <w:i w:val="0"/>
                <w:color w:val="1A2A42"/>
                <w:sz w:val="19"/>
              </w:rPr>
              <w:t>Evidence Graph Population</w:t>
            </w:r>
          </w:p>
        </w:tc>
        <w:tc>
          <w:tcPr>
            <w:tcW w:type="dxa" w:w="2268"/>
            <w:shd w:val="clear" w:color="auto" w:fill="F0F4FA"/>
            <w:vAlign w:val="center"/>
          </w:tcPr>
          <w:p>
            <w:pPr>
              <w:spacing w:before="40" w:after="40"/>
            </w:pPr>
            <w:r>
              <w:rPr>
                <w:rFonts w:ascii="Calibri" w:hAnsi="Calibri"/>
                <w:b w:val="0"/>
                <w:i w:val="0"/>
                <w:color w:val="1A2A42"/>
                <w:sz w:val="19"/>
              </w:rPr>
              <w:t>EvidenceTool, EvidenceGraph</w:t>
            </w:r>
          </w:p>
        </w:tc>
        <w:tc>
          <w:tcPr>
            <w:tcW w:type="dxa" w:w="2268"/>
            <w:shd w:val="clear" w:color="auto" w:fill="F0F4FA"/>
            <w:vAlign w:val="center"/>
          </w:tcPr>
          <w:p>
            <w:pPr>
              <w:spacing w:before="40" w:after="40"/>
            </w:pPr>
            <w:r>
              <w:rPr>
                <w:rFonts w:ascii="Calibri" w:hAnsi="Calibri"/>
                <w:b w:val="0"/>
                <w:i w:val="0"/>
                <w:color w:val="1A2A42"/>
                <w:sz w:val="19"/>
              </w:rPr>
              <w:t>Traceable claim nodes with code_hash</w:t>
            </w:r>
          </w:p>
        </w:tc>
      </w:tr>
      <w:tr>
        <w:tc>
          <w:tcPr>
            <w:tcW w:type="dxa" w:w="2268"/>
            <w:shd w:val="clear" w:color="auto" w:fill="FFFFFF"/>
            <w:vAlign w:val="center"/>
          </w:tcPr>
          <w:p>
            <w:pPr>
              <w:spacing w:before="40" w:after="40"/>
            </w:pPr>
            <w:r>
              <w:rPr>
                <w:rFonts w:ascii="Calibri" w:hAnsi="Calibri"/>
                <w:b w:val="0"/>
                <w:i w:val="0"/>
                <w:color w:val="1A2A42"/>
                <w:sz w:val="19"/>
              </w:rPr>
              <w:t>10</w:t>
            </w:r>
          </w:p>
        </w:tc>
        <w:tc>
          <w:tcPr>
            <w:tcW w:type="dxa" w:w="2268"/>
            <w:shd w:val="clear" w:color="auto" w:fill="FFFFFF"/>
            <w:vAlign w:val="center"/>
          </w:tcPr>
          <w:p>
            <w:pPr>
              <w:spacing w:before="40" w:after="40"/>
            </w:pPr>
            <w:r>
              <w:rPr>
                <w:rFonts w:ascii="Calibri" w:hAnsi="Calibri"/>
                <w:b w:val="0"/>
                <w:i w:val="0"/>
                <w:color w:val="1A2A42"/>
                <w:sz w:val="19"/>
              </w:rPr>
              <w:t>Response Synthesis</w:t>
            </w:r>
          </w:p>
        </w:tc>
        <w:tc>
          <w:tcPr>
            <w:tcW w:type="dxa" w:w="2268"/>
            <w:shd w:val="clear" w:color="auto" w:fill="FFFFFF"/>
            <w:vAlign w:val="center"/>
          </w:tcPr>
          <w:p>
            <w:pPr>
              <w:spacing w:before="40" w:after="40"/>
            </w:pPr>
            <w:r>
              <w:rPr>
                <w:rFonts w:ascii="Calibri" w:hAnsi="Calibri"/>
                <w:b w:val="0"/>
                <w:i w:val="0"/>
                <w:color w:val="1A2A42"/>
                <w:sz w:val="19"/>
              </w:rPr>
              <w:t>InsightGenerator, VisualizationSelector</w:t>
            </w:r>
          </w:p>
        </w:tc>
        <w:tc>
          <w:tcPr>
            <w:tcW w:type="dxa" w:w="2268"/>
            <w:shd w:val="clear" w:color="auto" w:fill="FFFFFF"/>
            <w:vAlign w:val="center"/>
          </w:tcPr>
          <w:p>
            <w:pPr>
              <w:spacing w:before="40" w:after="40"/>
            </w:pPr>
            <w:r>
              <w:rPr>
                <w:rFonts w:ascii="Calibri" w:hAnsi="Calibri"/>
                <w:b w:val="0"/>
                <w:i w:val="0"/>
                <w:color w:val="1A2A42"/>
                <w:sz w:val="19"/>
              </w:rPr>
              <w:t>Natural-language response + Vega-Lite chart</w:t>
            </w:r>
          </w:p>
        </w:tc>
      </w:tr>
    </w:tbl>
    <w:p/>
    <w:p>
      <w:pPr>
        <w:spacing w:before="240" w:after="60"/>
      </w:pPr>
      <w:r>
        <w:rPr>
          <w:rFonts w:ascii="Cambria" w:hAnsi="Cambria"/>
          <w:b/>
          <w:i w:val="0"/>
          <w:color w:val="3B8BEB"/>
          <w:sz w:val="24"/>
        </w:rPr>
        <w:t>Phase 1 -- Request Ingestion &amp; Authentication</w:t>
      </w:r>
    </w:p>
    <w:p>
      <w:pPr>
        <w:spacing w:before="40" w:after="80"/>
      </w:pPr>
      <w:r>
        <w:rPr>
          <w:rFonts w:ascii="Calibri" w:hAnsi="Calibri"/>
          <w:b w:val="0"/>
          <w:i w:val="0"/>
          <w:color w:val="1A2A42"/>
          <w:sz w:val="20"/>
        </w:rPr>
        <w:t>The user's natural-language question arrives at POST /api/query. FastAPI validates the JSON payload against the AnalysisRequest schema (Pydantic v2). The RBAC middleware resolves the user's role and permitted schemas from the session token. The rate limiter enforces per-user and global request budgets. The authenticated request is forwarded to the Complexity Router with the resolved user context attached.</w:t>
      </w:r>
    </w:p>
    <w:p>
      <w:pPr>
        <w:spacing w:before="240" w:after="60"/>
      </w:pPr>
      <w:r>
        <w:rPr>
          <w:rFonts w:ascii="Cambria" w:hAnsi="Cambria"/>
          <w:b/>
          <w:i w:val="0"/>
          <w:color w:val="3B8BEB"/>
          <w:sz w:val="24"/>
        </w:rPr>
        <w:t>Phase 2 -- Complexity Routing</w:t>
      </w:r>
    </w:p>
    <w:p>
      <w:pPr>
        <w:spacing w:before="40" w:after="80"/>
      </w:pPr>
      <w:r>
        <w:rPr>
          <w:rFonts w:ascii="Calibri" w:hAnsi="Calibri"/>
          <w:b w:val="0"/>
          <w:i w:val="0"/>
          <w:color w:val="1A2A42"/>
          <w:sz w:val="20"/>
        </w:rPr>
        <w:t>The ComplexityRouter invokes Claude Haiku with a structured classification prompt that receives the question, session history summary, and available tool list. Haiku returns one of four tiers: SIMPLE (single metric lookup -- fast path, skips Phases 5-9), ANALYTICAL (single multi-step analysis), COMPLEX (multi-tool investigation with replanning), or VERY_COMPLEX (full investigation agent with maximum budget). Budget parameters (max_steps, timeout_seconds, budget_tokens, max_tool_calls) are assigned per tier.</w:t>
      </w:r>
    </w:p>
    <w:p>
      <w:pPr>
        <w:spacing w:before="240" w:after="60"/>
      </w:pPr>
      <w:r>
        <w:rPr>
          <w:rFonts w:ascii="Cambria" w:hAnsi="Cambria"/>
          <w:b/>
          <w:i w:val="0"/>
          <w:color w:val="3B8BEB"/>
          <w:sz w:val="24"/>
        </w:rPr>
        <w:t>Phase 3 -- Intent Extraction</w:t>
      </w:r>
    </w:p>
    <w:p>
      <w:pPr>
        <w:spacing w:before="40" w:after="80"/>
      </w:pPr>
      <w:r>
        <w:rPr>
          <w:rFonts w:ascii="Calibri" w:hAnsi="Calibri"/>
          <w:b w:val="0"/>
          <w:i w:val="0"/>
          <w:color w:val="1A2A42"/>
          <w:sz w:val="20"/>
        </w:rPr>
        <w:t>The IntentExtractor sends the question to Claude Sonnet with a structured output schema enforced by PydanticAI. The output is an AnalyticalIntent containing: business_objective, analytical_type (METRIC_QUERY, TIME_SERIES, COMPARISON, RCA, FORECAST, ANOMALY, CORRELATION, COHORT, etc.), extracted metrics, dimensions, filters, time window, and comparison scope. Simultaneously, the HybridRetriever queries the ChromaDB vector index and BM25 keyword index using RRF merging (k=60) to retrieve the most semantically relevant table/column definitions, populating SemanticContext.</w:t>
      </w:r>
    </w:p>
    <w:p>
      <w:pPr>
        <w:spacing w:before="240" w:after="60"/>
      </w:pPr>
      <w:r>
        <w:rPr>
          <w:rFonts w:ascii="Cambria" w:hAnsi="Cambria"/>
          <w:b/>
          <w:i w:val="0"/>
          <w:color w:val="3B8BEB"/>
          <w:sz w:val="24"/>
        </w:rPr>
        <w:t>Phase 4 -- AIR Compilation</w:t>
      </w:r>
    </w:p>
    <w:p>
      <w:pPr>
        <w:spacing w:before="40" w:after="80"/>
      </w:pPr>
      <w:r>
        <w:rPr>
          <w:rFonts w:ascii="Calibri" w:hAnsi="Calibri"/>
          <w:b w:val="0"/>
          <w:i w:val="0"/>
          <w:color w:val="1A2A42"/>
          <w:sz w:val="20"/>
        </w:rPr>
        <w:t>The AIR Compiler transforms AnalyticalIntent + SemanticContext into an Analytical Intermediate Representation -- a language-agnostic, database-independent description of the analysis. AIR carries: resolved MetricRefs (with aggregation function and DAG expansion), DimensionRefs, FilterExprs, TimeWindowSpec (including fiscal calendar offsets), CohortSpec, StatisticalOpSpec, ForecastSpec, and AnomalySpec. The SemanticEngine V2 resolves metric definitions through the metric DAG, applies RLS/CLS policies, and determines the required join graph.</w:t>
      </w:r>
    </w:p>
    <w:p>
      <w:pPr>
        <w:spacing w:before="240" w:after="60"/>
      </w:pPr>
      <w:r>
        <w:rPr>
          <w:rFonts w:ascii="Cambria" w:hAnsi="Cambria"/>
          <w:b/>
          <w:i w:val="0"/>
          <w:color w:val="3B8BEB"/>
          <w:sz w:val="24"/>
        </w:rPr>
        <w:t>Phase 5 -- Tool Sequence Planning (Investigation Agent)</w:t>
      </w:r>
    </w:p>
    <w:p>
      <w:pPr>
        <w:spacing w:before="40" w:after="80"/>
      </w:pPr>
      <w:r>
        <w:rPr>
          <w:rFonts w:ascii="Calibri" w:hAnsi="Calibri"/>
          <w:b w:val="0"/>
          <w:i w:val="0"/>
          <w:color w:val="1A2A42"/>
          <w:sz w:val="20"/>
        </w:rPr>
        <w:t>For ANALYTICAL and above, the Investigation Agent enters its state machine (OBSERVE → UNDERSTAND → PLAN → ACT → OBSERVE_RESULT → CRITIQUE → REPLAN → VERIFY → RESPOND). The PLAN state produces an ordered tool call sequence from the 11-tool registry: SQLTool, PythonAnalyticsTool, StatisticsTool, TimeSeriesTool, ForecastTool, AnomalyTool, DataQualityTool, SemanticSearchTool, SchemaTool, VisualizationTool, EvidenceTool. Each step is budget-tracked.</w:t>
      </w:r>
    </w:p>
    <w:p>
      <w:pPr>
        <w:spacing w:before="240" w:after="60"/>
      </w:pPr>
      <w:r>
        <w:rPr>
          <w:rFonts w:ascii="Cambria" w:hAnsi="Cambria"/>
          <w:b/>
          <w:i w:val="0"/>
          <w:color w:val="3B8BEB"/>
          <w:sz w:val="24"/>
        </w:rPr>
        <w:t>Phase 6 -- SQL Generation &amp; Validation</w:t>
      </w:r>
    </w:p>
    <w:p>
      <w:pPr>
        <w:spacing w:before="40" w:after="80"/>
      </w:pPr>
      <w:r>
        <w:rPr>
          <w:rFonts w:ascii="Calibri" w:hAnsi="Calibri"/>
          <w:b w:val="0"/>
          <w:i w:val="0"/>
          <w:color w:val="1A2A42"/>
          <w:sz w:val="20"/>
        </w:rPr>
        <w:t>QueryPlanner V2 transforms the AIR's join graph into a deterministic SQL plan (table order, join type, aggregation structure). SQLGenerator V2 renders the plan as dialect-specific SQL via SQLGlot. CRITICAL INVARIANT: SQLValidator.validate() is called inside the SQL repair loop before every execution attempt. The 9-rule AST policy checks for: SELECT * prohibition, LIMIT enforcement, DDL/DML blocking, excessive JOIN count, subquery depth limits, forbidden functions, and RLS filter injection. A security violation causes immediate halt with no retry. Syntax or semantic failures trigger a repair cycle (max 3 iterations) with error feedback to the LLM. A validated SQL exits the loop and proceeds to Phase 7.</w:t>
      </w:r>
    </w:p>
    <w:p>
      <w:pPr>
        <w:spacing w:before="240" w:after="60"/>
      </w:pPr>
      <w:r>
        <w:rPr>
          <w:rFonts w:ascii="Cambria" w:hAnsi="Cambria"/>
          <w:b/>
          <w:i w:val="0"/>
          <w:color w:val="3B8BEB"/>
          <w:sz w:val="24"/>
        </w:rPr>
        <w:t>Phase 7 -- Tool Execution</w:t>
      </w:r>
    </w:p>
    <w:p>
      <w:pPr>
        <w:spacing w:before="40" w:after="80"/>
      </w:pPr>
      <w:r>
        <w:rPr>
          <w:rFonts w:ascii="Calibri" w:hAnsi="Calibri"/>
          <w:b w:val="0"/>
          <w:i w:val="0"/>
          <w:color w:val="1A2A42"/>
          <w:sz w:val="20"/>
        </w:rPr>
        <w:t>The DatabaseAdapter routes the validated SQL to the appropriate driver (asyncpg for PostgreSQL, snowflake-connector-python for Snowflake, etc.). A dual timeout is enforced: asyncio-level at the application and statement_timeout / query_tag at the database level. Results stream back as typed DataFrames. Non-SQL tools execute concurrently where the investigation plan permits: StatisticsTool applies hypothesis tests; TimeSeriesTool applies STL decomposition; ForecastTool runs model-selection cascade (STL→ETS→Prophet→ARIMA); AnomalyTool applies Isolation Forest with adaptive contamination. All computation is deterministic -- LLMs select the method, engines perform the calculation.</w:t>
      </w:r>
    </w:p>
    <w:p>
      <w:pPr>
        <w:spacing w:before="240" w:after="60"/>
      </w:pPr>
      <w:r>
        <w:rPr>
          <w:rFonts w:ascii="Cambria" w:hAnsi="Cambria"/>
          <w:b/>
          <w:i w:val="0"/>
          <w:color w:val="3B8BEB"/>
          <w:sz w:val="24"/>
        </w:rPr>
        <w:t>Phase 8 -- Result Critique &amp; Replanning</w:t>
      </w:r>
    </w:p>
    <w:p>
      <w:pPr>
        <w:spacing w:before="40" w:after="80"/>
      </w:pPr>
      <w:r>
        <w:rPr>
          <w:rFonts w:ascii="Calibri" w:hAnsi="Calibri"/>
          <w:b w:val="0"/>
          <w:i w:val="0"/>
          <w:color w:val="1A2A42"/>
          <w:sz w:val="20"/>
        </w:rPr>
        <w:t>ResultCritic applies the remaining validation layers (L4-L9) to the tool outputs: intent alignment check (does the result shape match the user's question?), join cardinality check (no unexpected fan-out?), statistical validity check (p-values plausible? sample size adequate?), evidence sufficiency check (are all claims in the planned response supported by evidence nodes?). A PASS advances to Phase 9. A FAIL sends the Investigation Agent into CRITIQUE → REPLAN states, which revise the tool sequence and re-enter Phase 5. The InvestigationBudget prevents infinite cycles.</w:t>
      </w:r>
    </w:p>
    <w:p>
      <w:pPr>
        <w:spacing w:before="240" w:after="60"/>
      </w:pPr>
      <w:r>
        <w:rPr>
          <w:rFonts w:ascii="Cambria" w:hAnsi="Cambria"/>
          <w:b/>
          <w:i w:val="0"/>
          <w:color w:val="3B8BEB"/>
          <w:sz w:val="24"/>
        </w:rPr>
        <w:t>Phase 9 -- Evidence Graph Population</w:t>
      </w:r>
    </w:p>
    <w:p>
      <w:pPr>
        <w:spacing w:before="40" w:after="80"/>
      </w:pPr>
      <w:r>
        <w:rPr>
          <w:rFonts w:ascii="Calibri" w:hAnsi="Calibri"/>
          <w:b w:val="0"/>
          <w:i w:val="0"/>
          <w:color w:val="1A2A42"/>
          <w:sz w:val="20"/>
        </w:rPr>
        <w:t>EvidenceTool creates an EvidenceNode for every analytical claim to be included in the response. Each node stores: claim text, source SQL (with hash), Python code executed, statistical test method, p-value, confidence interval, effect size, data rows inspected, and a reproducibility flag. Nodes are linked in a directed acyclic graph -- a composite claim references the nodes of its component calculations. The graph is persisted with the session ID, enabling any future session to reproduce the full analysis from the session ID alone.</w:t>
      </w:r>
    </w:p>
    <w:p>
      <w:pPr>
        <w:spacing w:before="240" w:after="60"/>
      </w:pPr>
      <w:r>
        <w:rPr>
          <w:rFonts w:ascii="Cambria" w:hAnsi="Cambria"/>
          <w:b/>
          <w:i w:val="0"/>
          <w:color w:val="3B8BEB"/>
          <w:sz w:val="24"/>
        </w:rPr>
        <w:t>Phase 10 -- Response Synthesis</w:t>
      </w:r>
    </w:p>
    <w:p>
      <w:pPr>
        <w:spacing w:before="40" w:after="80"/>
      </w:pPr>
      <w:r>
        <w:rPr>
          <w:rFonts w:ascii="Calibri" w:hAnsi="Calibri"/>
          <w:b w:val="0"/>
          <w:i w:val="0"/>
          <w:color w:val="1A2A42"/>
          <w:sz w:val="20"/>
        </w:rPr>
        <w:t>InsightGenerator receives the Evidence Graph and tool results, and generates a natural-language response using Claude Sonnet -- constrained to reference only claims supported by evidence nodes (hallucination prevention). VisualizationSelector determines the optimal Vega-Lite chart type based on the analytical type, result schema, and dimension count -- the LLM does not choose the chart type. The 3-panel web UI renders the response text in the chat panel, the SQL in the code panel, and the Vega-Lite chart inline. ConversationState updates persist the active metrics, filters, and evidence nodes for follow-up questions.</w:t>
      </w:r>
    </w:p>
    <w:p>
      <w:pPr>
        <w:spacing w:before="120" w:after="120"/>
        <w:pBdr>
          <w:bottom w:val="single" w:sz="4" w:color="D0D8E8"/>
        </w:pBdr>
      </w:pPr>
    </w:p>
    <w:p>
      <w:r>
        <w:br w:type="page"/>
      </w:r>
    </w:p>
    <w:p>
      <w:pPr>
        <w:spacing w:before="360" w:after="80"/>
        <w:pBdr>
          <w:left w:val="single" w:sz="24" w:color="00C896" w:space="8"/>
        </w:pBdr>
        <w:ind w:left="216"/>
      </w:pPr>
      <w:r>
        <w:rPr>
          <w:rFonts w:ascii="Cambria" w:hAnsi="Cambria"/>
          <w:b/>
          <w:i w:val="0"/>
          <w:color w:val="0C1A2E"/>
          <w:sz w:val="30"/>
        </w:rPr>
        <w:t>5. Component Architecture</w:t>
      </w:r>
    </w:p>
    <w:p>
      <w:pPr>
        <w:spacing w:before="240" w:after="60"/>
      </w:pPr>
      <w:r>
        <w:rPr>
          <w:rFonts w:ascii="Cambria" w:hAnsi="Cambria"/>
          <w:b/>
          <w:i w:val="0"/>
          <w:color w:val="3B8BEB"/>
          <w:sz w:val="24"/>
        </w:rPr>
        <w:t>5.1 Complexity Router -- Tier Definitions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728"/>
            <w:shd w:val="clear" w:color="auto" w:fill="0C1A2E"/>
            <w:vAlign w:val="center"/>
          </w:tcPr>
          <w:p>
            <w:pPr>
              <w:spacing w:before="60" w:after="60"/>
            </w:pPr>
            <w:r>
              <w:rPr>
                <w:rFonts w:ascii="Calibri" w:hAnsi="Calibri"/>
                <w:b/>
                <w:i w:val="0"/>
                <w:color w:val="FFFFFF"/>
                <w:sz w:val="19"/>
              </w:rPr>
              <w:t>Tier</w:t>
            </w:r>
          </w:p>
        </w:tc>
        <w:tc>
          <w:tcPr>
            <w:tcW w:type="dxa" w:w="3600"/>
            <w:shd w:val="clear" w:color="auto" w:fill="0C1A2E"/>
            <w:vAlign w:val="center"/>
          </w:tcPr>
          <w:p>
            <w:pPr>
              <w:spacing w:before="60" w:after="60"/>
            </w:pPr>
            <w:r>
              <w:rPr>
                <w:rFonts w:ascii="Calibri" w:hAnsi="Calibri"/>
                <w:b/>
                <w:i w:val="0"/>
                <w:color w:val="FFFFFF"/>
                <w:sz w:val="19"/>
              </w:rPr>
              <w:t>Criteria</w:t>
            </w:r>
          </w:p>
        </w:tc>
        <w:tc>
          <w:tcPr>
            <w:tcW w:type="dxa" w:w="1440"/>
            <w:shd w:val="clear" w:color="auto" w:fill="0C1A2E"/>
            <w:vAlign w:val="center"/>
          </w:tcPr>
          <w:p>
            <w:pPr>
              <w:spacing w:before="60" w:after="60"/>
            </w:pPr>
            <w:r>
              <w:rPr>
                <w:rFonts w:ascii="Calibri" w:hAnsi="Calibri"/>
                <w:b/>
                <w:i w:val="0"/>
                <w:color w:val="FFFFFF"/>
                <w:sz w:val="19"/>
              </w:rPr>
              <w:t>Model</w:t>
            </w:r>
          </w:p>
        </w:tc>
        <w:tc>
          <w:tcPr>
            <w:tcW w:type="dxa" w:w="1296"/>
            <w:shd w:val="clear" w:color="auto" w:fill="0C1A2E"/>
            <w:vAlign w:val="center"/>
          </w:tcPr>
          <w:p>
            <w:pPr>
              <w:spacing w:before="60" w:after="60"/>
            </w:pPr>
            <w:r>
              <w:rPr>
                <w:rFonts w:ascii="Calibri" w:hAnsi="Calibri"/>
                <w:b/>
                <w:i w:val="0"/>
                <w:color w:val="FFFFFF"/>
                <w:sz w:val="19"/>
              </w:rPr>
              <w:t>Max Steps</w:t>
            </w:r>
          </w:p>
        </w:tc>
        <w:tc>
          <w:tcPr>
            <w:tcW w:type="dxa" w:w="1440"/>
            <w:shd w:val="clear" w:color="auto" w:fill="0C1A2E"/>
            <w:vAlign w:val="center"/>
          </w:tcPr>
          <w:p>
            <w:pPr>
              <w:spacing w:before="60" w:after="60"/>
            </w:pPr>
            <w:r>
              <w:rPr>
                <w:rFonts w:ascii="Calibri" w:hAnsi="Calibri"/>
                <w:b/>
                <w:i w:val="0"/>
                <w:color w:val="FFFFFF"/>
                <w:sz w:val="19"/>
              </w:rPr>
              <w:t>Max Tokens</w:t>
            </w:r>
          </w:p>
        </w:tc>
        <w:tc>
          <w:tcPr>
            <w:tcW w:type="dxa" w:w="1008"/>
            <w:shd w:val="clear" w:color="auto" w:fill="0C1A2E"/>
            <w:vAlign w:val="center"/>
          </w:tcPr>
          <w:p>
            <w:pPr>
              <w:spacing w:before="60" w:after="60"/>
            </w:pPr>
            <w:r>
              <w:rPr>
                <w:rFonts w:ascii="Calibri" w:hAnsi="Calibri"/>
                <w:b/>
                <w:i w:val="0"/>
                <w:color w:val="FFFFFF"/>
                <w:sz w:val="19"/>
              </w:rPr>
              <w:t>Timeout</w:t>
            </w:r>
          </w:p>
        </w:tc>
      </w:tr>
      <w:tr>
        <w:tc>
          <w:tcPr>
            <w:tcW w:type="dxa" w:w="1512"/>
            <w:shd w:val="clear" w:color="auto" w:fill="F0F4FA"/>
            <w:vAlign w:val="center"/>
          </w:tcPr>
          <w:p>
            <w:pPr>
              <w:spacing w:before="40" w:after="40"/>
            </w:pPr>
            <w:r>
              <w:rPr>
                <w:rFonts w:ascii="Calibri" w:hAnsi="Calibri"/>
                <w:b w:val="0"/>
                <w:i w:val="0"/>
                <w:color w:val="1A2A42"/>
                <w:sz w:val="19"/>
              </w:rPr>
              <w:t>SIMPLE</w:t>
            </w:r>
          </w:p>
        </w:tc>
        <w:tc>
          <w:tcPr>
            <w:tcW w:type="dxa" w:w="1512"/>
            <w:shd w:val="clear" w:color="auto" w:fill="F0F4FA"/>
            <w:vAlign w:val="center"/>
          </w:tcPr>
          <w:p>
            <w:pPr>
              <w:spacing w:before="40" w:after="40"/>
            </w:pPr>
            <w:r>
              <w:rPr>
                <w:rFonts w:ascii="Calibri" w:hAnsi="Calibri"/>
                <w:b w:val="0"/>
                <w:i w:val="0"/>
                <w:color w:val="1A2A42"/>
                <w:sz w:val="19"/>
              </w:rPr>
              <w:t>Single metric; no joins; direct aggregation</w:t>
            </w:r>
          </w:p>
        </w:tc>
        <w:tc>
          <w:tcPr>
            <w:tcW w:type="dxa" w:w="1512"/>
            <w:shd w:val="clear" w:color="auto" w:fill="F0F4FA"/>
            <w:vAlign w:val="center"/>
          </w:tcPr>
          <w:p>
            <w:pPr>
              <w:spacing w:before="40" w:after="40"/>
            </w:pPr>
            <w:r>
              <w:rPr>
                <w:rFonts w:ascii="Calibri" w:hAnsi="Calibri"/>
                <w:b w:val="0"/>
                <w:i w:val="0"/>
                <w:color w:val="1A2A42"/>
                <w:sz w:val="19"/>
              </w:rPr>
              <w:t>Haiku</w:t>
            </w:r>
          </w:p>
        </w:tc>
        <w:tc>
          <w:tcPr>
            <w:tcW w:type="dxa" w:w="1512"/>
            <w:shd w:val="clear" w:color="auto" w:fill="F0F4FA"/>
            <w:vAlign w:val="center"/>
          </w:tcPr>
          <w:p>
            <w:pPr>
              <w:spacing w:before="40" w:after="40"/>
            </w:pPr>
            <w:r>
              <w:rPr>
                <w:rFonts w:ascii="Calibri" w:hAnsi="Calibri"/>
                <w:b w:val="0"/>
                <w:i w:val="0"/>
                <w:color w:val="1A2A42"/>
                <w:sz w:val="19"/>
              </w:rPr>
              <w:t>1</w:t>
            </w:r>
          </w:p>
        </w:tc>
        <w:tc>
          <w:tcPr>
            <w:tcW w:type="dxa" w:w="1512"/>
            <w:shd w:val="clear" w:color="auto" w:fill="F0F4FA"/>
            <w:vAlign w:val="center"/>
          </w:tcPr>
          <w:p>
            <w:pPr>
              <w:spacing w:before="40" w:after="40"/>
            </w:pPr>
            <w:r>
              <w:rPr>
                <w:rFonts w:ascii="Calibri" w:hAnsi="Calibri"/>
                <w:b w:val="0"/>
                <w:i w:val="0"/>
                <w:color w:val="1A2A42"/>
                <w:sz w:val="19"/>
              </w:rPr>
              <w:t>2 000</w:t>
            </w:r>
          </w:p>
        </w:tc>
        <w:tc>
          <w:tcPr>
            <w:tcW w:type="dxa" w:w="1512"/>
            <w:shd w:val="clear" w:color="auto" w:fill="F0F4FA"/>
            <w:vAlign w:val="center"/>
          </w:tcPr>
          <w:p>
            <w:pPr>
              <w:spacing w:before="40" w:after="40"/>
            </w:pPr>
            <w:r>
              <w:rPr>
                <w:rFonts w:ascii="Calibri" w:hAnsi="Calibri"/>
                <w:b w:val="0"/>
                <w:i w:val="0"/>
                <w:color w:val="1A2A42"/>
                <w:sz w:val="19"/>
              </w:rPr>
              <w:t>10 s</w:t>
            </w:r>
          </w:p>
        </w:tc>
      </w:tr>
      <w:tr>
        <w:tc>
          <w:tcPr>
            <w:tcW w:type="dxa" w:w="1512"/>
            <w:shd w:val="clear" w:color="auto" w:fill="FFFFFF"/>
            <w:vAlign w:val="center"/>
          </w:tcPr>
          <w:p>
            <w:pPr>
              <w:spacing w:before="40" w:after="40"/>
            </w:pPr>
            <w:r>
              <w:rPr>
                <w:rFonts w:ascii="Calibri" w:hAnsi="Calibri"/>
                <w:b w:val="0"/>
                <w:i w:val="0"/>
                <w:color w:val="1A2A42"/>
                <w:sz w:val="19"/>
              </w:rPr>
              <w:t>ANALYTICAL</w:t>
            </w:r>
          </w:p>
        </w:tc>
        <w:tc>
          <w:tcPr>
            <w:tcW w:type="dxa" w:w="1512"/>
            <w:shd w:val="clear" w:color="auto" w:fill="FFFFFF"/>
            <w:vAlign w:val="center"/>
          </w:tcPr>
          <w:p>
            <w:pPr>
              <w:spacing w:before="40" w:after="40"/>
            </w:pPr>
            <w:r>
              <w:rPr>
                <w:rFonts w:ascii="Calibri" w:hAnsi="Calibri"/>
                <w:b w:val="0"/>
                <w:i w:val="0"/>
                <w:color w:val="1A2A42"/>
                <w:sz w:val="19"/>
              </w:rPr>
              <w:t>Multi-table; time comparison; single statistical op</w:t>
            </w:r>
          </w:p>
        </w:tc>
        <w:tc>
          <w:tcPr>
            <w:tcW w:type="dxa" w:w="1512"/>
            <w:shd w:val="clear" w:color="auto" w:fill="FFFFFF"/>
            <w:vAlign w:val="center"/>
          </w:tcPr>
          <w:p>
            <w:pPr>
              <w:spacing w:before="40" w:after="40"/>
            </w:pPr>
            <w:r>
              <w:rPr>
                <w:rFonts w:ascii="Calibri" w:hAnsi="Calibri"/>
                <w:b w:val="0"/>
                <w:i w:val="0"/>
                <w:color w:val="1A2A42"/>
                <w:sz w:val="19"/>
              </w:rPr>
              <w:t>Sonnet</w:t>
            </w:r>
          </w:p>
        </w:tc>
        <w:tc>
          <w:tcPr>
            <w:tcW w:type="dxa" w:w="1512"/>
            <w:shd w:val="clear" w:color="auto" w:fill="FFFFFF"/>
            <w:vAlign w:val="center"/>
          </w:tcPr>
          <w:p>
            <w:pPr>
              <w:spacing w:before="40" w:after="40"/>
            </w:pPr>
            <w:r>
              <w:rPr>
                <w:rFonts w:ascii="Calibri" w:hAnsi="Calibri"/>
                <w:b w:val="0"/>
                <w:i w:val="0"/>
                <w:color w:val="1A2A42"/>
                <w:sz w:val="19"/>
              </w:rPr>
              <w:t>5</w:t>
            </w:r>
          </w:p>
        </w:tc>
        <w:tc>
          <w:tcPr>
            <w:tcW w:type="dxa" w:w="1512"/>
            <w:shd w:val="clear" w:color="auto" w:fill="FFFFFF"/>
            <w:vAlign w:val="center"/>
          </w:tcPr>
          <w:p>
            <w:pPr>
              <w:spacing w:before="40" w:after="40"/>
            </w:pPr>
            <w:r>
              <w:rPr>
                <w:rFonts w:ascii="Calibri" w:hAnsi="Calibri"/>
                <w:b w:val="0"/>
                <w:i w:val="0"/>
                <w:color w:val="1A2A42"/>
                <w:sz w:val="19"/>
              </w:rPr>
              <w:t>8 000</w:t>
            </w:r>
          </w:p>
        </w:tc>
        <w:tc>
          <w:tcPr>
            <w:tcW w:type="dxa" w:w="1512"/>
            <w:shd w:val="clear" w:color="auto" w:fill="FFFFFF"/>
            <w:vAlign w:val="center"/>
          </w:tcPr>
          <w:p>
            <w:pPr>
              <w:spacing w:before="40" w:after="40"/>
            </w:pPr>
            <w:r>
              <w:rPr>
                <w:rFonts w:ascii="Calibri" w:hAnsi="Calibri"/>
                <w:b w:val="0"/>
                <w:i w:val="0"/>
                <w:color w:val="1A2A42"/>
                <w:sz w:val="19"/>
              </w:rPr>
              <w:t>30 s</w:t>
            </w:r>
          </w:p>
        </w:tc>
      </w:tr>
      <w:tr>
        <w:tc>
          <w:tcPr>
            <w:tcW w:type="dxa" w:w="1512"/>
            <w:shd w:val="clear" w:color="auto" w:fill="F0F4FA"/>
            <w:vAlign w:val="center"/>
          </w:tcPr>
          <w:p>
            <w:pPr>
              <w:spacing w:before="40" w:after="40"/>
            </w:pPr>
            <w:r>
              <w:rPr>
                <w:rFonts w:ascii="Calibri" w:hAnsi="Calibri"/>
                <w:b w:val="0"/>
                <w:i w:val="0"/>
                <w:color w:val="1A2A42"/>
                <w:sz w:val="19"/>
              </w:rPr>
              <w:t>COMPLEX</w:t>
            </w:r>
          </w:p>
        </w:tc>
        <w:tc>
          <w:tcPr>
            <w:tcW w:type="dxa" w:w="1512"/>
            <w:shd w:val="clear" w:color="auto" w:fill="F0F4FA"/>
            <w:vAlign w:val="center"/>
          </w:tcPr>
          <w:p>
            <w:pPr>
              <w:spacing w:before="40" w:after="40"/>
            </w:pPr>
            <w:r>
              <w:rPr>
                <w:rFonts w:ascii="Calibri" w:hAnsi="Calibri"/>
                <w:b w:val="0"/>
                <w:i w:val="0"/>
                <w:color w:val="1A2A42"/>
                <w:sz w:val="19"/>
              </w:rPr>
              <w:t>Multi-metric; cohort; forecast; replanning possible</w:t>
            </w:r>
          </w:p>
        </w:tc>
        <w:tc>
          <w:tcPr>
            <w:tcW w:type="dxa" w:w="1512"/>
            <w:shd w:val="clear" w:color="auto" w:fill="F0F4FA"/>
            <w:vAlign w:val="center"/>
          </w:tcPr>
          <w:p>
            <w:pPr>
              <w:spacing w:before="40" w:after="40"/>
            </w:pPr>
            <w:r>
              <w:rPr>
                <w:rFonts w:ascii="Calibri" w:hAnsi="Calibri"/>
                <w:b w:val="0"/>
                <w:i w:val="0"/>
                <w:color w:val="1A2A42"/>
                <w:sz w:val="19"/>
              </w:rPr>
              <w:t>Sonnet</w:t>
            </w:r>
          </w:p>
        </w:tc>
        <w:tc>
          <w:tcPr>
            <w:tcW w:type="dxa" w:w="1512"/>
            <w:shd w:val="clear" w:color="auto" w:fill="F0F4FA"/>
            <w:vAlign w:val="center"/>
          </w:tcPr>
          <w:p>
            <w:pPr>
              <w:spacing w:before="40" w:after="40"/>
            </w:pPr>
            <w:r>
              <w:rPr>
                <w:rFonts w:ascii="Calibri" w:hAnsi="Calibri"/>
                <w:b w:val="0"/>
                <w:i w:val="0"/>
                <w:color w:val="1A2A42"/>
                <w:sz w:val="19"/>
              </w:rPr>
              <w:t>10</w:t>
            </w:r>
          </w:p>
        </w:tc>
        <w:tc>
          <w:tcPr>
            <w:tcW w:type="dxa" w:w="1512"/>
            <w:shd w:val="clear" w:color="auto" w:fill="F0F4FA"/>
            <w:vAlign w:val="center"/>
          </w:tcPr>
          <w:p>
            <w:pPr>
              <w:spacing w:before="40" w:after="40"/>
            </w:pPr>
            <w:r>
              <w:rPr>
                <w:rFonts w:ascii="Calibri" w:hAnsi="Calibri"/>
                <w:b w:val="0"/>
                <w:i w:val="0"/>
                <w:color w:val="1A2A42"/>
                <w:sz w:val="19"/>
              </w:rPr>
              <w:t>20 000</w:t>
            </w:r>
          </w:p>
        </w:tc>
        <w:tc>
          <w:tcPr>
            <w:tcW w:type="dxa" w:w="1512"/>
            <w:shd w:val="clear" w:color="auto" w:fill="F0F4FA"/>
            <w:vAlign w:val="center"/>
          </w:tcPr>
          <w:p>
            <w:pPr>
              <w:spacing w:before="40" w:after="40"/>
            </w:pPr>
            <w:r>
              <w:rPr>
                <w:rFonts w:ascii="Calibri" w:hAnsi="Calibri"/>
                <w:b w:val="0"/>
                <w:i w:val="0"/>
                <w:color w:val="1A2A42"/>
                <w:sz w:val="19"/>
              </w:rPr>
              <w:t>90 s</w:t>
            </w:r>
          </w:p>
        </w:tc>
      </w:tr>
      <w:tr>
        <w:tc>
          <w:tcPr>
            <w:tcW w:type="dxa" w:w="1512"/>
            <w:shd w:val="clear" w:color="auto" w:fill="FFFFFF"/>
            <w:vAlign w:val="center"/>
          </w:tcPr>
          <w:p>
            <w:pPr>
              <w:spacing w:before="40" w:after="40"/>
            </w:pPr>
            <w:r>
              <w:rPr>
                <w:rFonts w:ascii="Calibri" w:hAnsi="Calibri"/>
                <w:b w:val="0"/>
                <w:i w:val="0"/>
                <w:color w:val="1A2A42"/>
                <w:sz w:val="19"/>
              </w:rPr>
              <w:t>VERY_COMPLEX</w:t>
            </w:r>
          </w:p>
        </w:tc>
        <w:tc>
          <w:tcPr>
            <w:tcW w:type="dxa" w:w="1512"/>
            <w:shd w:val="clear" w:color="auto" w:fill="FFFFFF"/>
            <w:vAlign w:val="center"/>
          </w:tcPr>
          <w:p>
            <w:pPr>
              <w:spacing w:before="40" w:after="40"/>
            </w:pPr>
            <w:r>
              <w:rPr>
                <w:rFonts w:ascii="Calibri" w:hAnsi="Calibri"/>
                <w:b w:val="0"/>
                <w:i w:val="0"/>
                <w:color w:val="1A2A42"/>
                <w:sz w:val="19"/>
              </w:rPr>
              <w:t>RCA; causal inference; multi-hypothesis investigation</w:t>
            </w:r>
          </w:p>
        </w:tc>
        <w:tc>
          <w:tcPr>
            <w:tcW w:type="dxa" w:w="1512"/>
            <w:shd w:val="clear" w:color="auto" w:fill="FFFFFF"/>
            <w:vAlign w:val="center"/>
          </w:tcPr>
          <w:p>
            <w:pPr>
              <w:spacing w:before="40" w:after="40"/>
            </w:pPr>
            <w:r>
              <w:rPr>
                <w:rFonts w:ascii="Calibri" w:hAnsi="Calibri"/>
                <w:b w:val="0"/>
                <w:i w:val="0"/>
                <w:color w:val="1A2A42"/>
                <w:sz w:val="19"/>
              </w:rPr>
              <w:t>Sonnet</w:t>
            </w:r>
          </w:p>
        </w:tc>
        <w:tc>
          <w:tcPr>
            <w:tcW w:type="dxa" w:w="1512"/>
            <w:shd w:val="clear" w:color="auto" w:fill="FFFFFF"/>
            <w:vAlign w:val="center"/>
          </w:tcPr>
          <w:p>
            <w:pPr>
              <w:spacing w:before="40" w:after="40"/>
            </w:pPr>
            <w:r>
              <w:rPr>
                <w:rFonts w:ascii="Calibri" w:hAnsi="Calibri"/>
                <w:b w:val="0"/>
                <w:i w:val="0"/>
                <w:color w:val="1A2A42"/>
                <w:sz w:val="19"/>
              </w:rPr>
              <w:t>20</w:t>
            </w:r>
          </w:p>
        </w:tc>
        <w:tc>
          <w:tcPr>
            <w:tcW w:type="dxa" w:w="1512"/>
            <w:shd w:val="clear" w:color="auto" w:fill="FFFFFF"/>
            <w:vAlign w:val="center"/>
          </w:tcPr>
          <w:p>
            <w:pPr>
              <w:spacing w:before="40" w:after="40"/>
            </w:pPr>
            <w:r>
              <w:rPr>
                <w:rFonts w:ascii="Calibri" w:hAnsi="Calibri"/>
                <w:b w:val="0"/>
                <w:i w:val="0"/>
                <w:color w:val="1A2A42"/>
                <w:sz w:val="19"/>
              </w:rPr>
              <w:t>50 000</w:t>
            </w:r>
          </w:p>
        </w:tc>
        <w:tc>
          <w:tcPr>
            <w:tcW w:type="dxa" w:w="1512"/>
            <w:shd w:val="clear" w:color="auto" w:fill="FFFFFF"/>
            <w:vAlign w:val="center"/>
          </w:tcPr>
          <w:p>
            <w:pPr>
              <w:spacing w:before="40" w:after="40"/>
            </w:pPr>
            <w:r>
              <w:rPr>
                <w:rFonts w:ascii="Calibri" w:hAnsi="Calibri"/>
                <w:b w:val="0"/>
                <w:i w:val="0"/>
                <w:color w:val="1A2A42"/>
                <w:sz w:val="19"/>
              </w:rPr>
              <w:t>180 s</w:t>
            </w:r>
          </w:p>
        </w:tc>
      </w:tr>
    </w:tbl>
    <w:p/>
    <w:p>
      <w:pPr>
        <w:spacing w:before="240" w:after="60"/>
      </w:pPr>
      <w:r>
        <w:rPr>
          <w:rFonts w:ascii="Cambria" w:hAnsi="Cambria"/>
          <w:b/>
          <w:i w:val="0"/>
          <w:color w:val="3B8BEB"/>
          <w:sz w:val="24"/>
        </w:rPr>
        <w:t>5.2 Semantic Engine V2 -- Key Concepts</w:t>
      </w:r>
    </w:p>
    <w:p>
      <w:pPr>
        <w:spacing w:before="40" w:after="80"/>
      </w:pPr>
      <w:r>
        <w:rPr>
          <w:rFonts w:ascii="Calibri" w:hAnsi="Calibri"/>
          <w:b w:val="0"/>
          <w:i w:val="0"/>
          <w:color w:val="1A2A42"/>
          <w:sz w:val="20"/>
        </w:rPr>
        <w:t>The SemanticEngine V2 replaces the static YAML context with a structured, versioned semantic model:</w:t>
      </w:r>
    </w:p>
    <w:p>
      <w:pPr>
        <w:pStyle w:val="ListBullet"/>
        <w:spacing w:before="20" w:after="20"/>
        <w:ind w:left="360"/>
      </w:pPr>
      <w:r>
        <w:rPr>
          <w:rFonts w:ascii="Calibri" w:hAnsi="Calibri"/>
          <w:b w:val="0"/>
          <w:i w:val="0"/>
          <w:color w:val="1A2A42"/>
          <w:sz w:val="20"/>
        </w:rPr>
        <w:t>MetricDefinition with calculation DAG -- a metric like 'Net Revenue' references 'Gross Revenue' minus 'Returns', each with their own SQL fragments</w:t>
      </w:r>
    </w:p>
    <w:p>
      <w:pPr>
        <w:pStyle w:val="ListBullet"/>
        <w:spacing w:before="20" w:after="20"/>
        <w:ind w:left="360"/>
      </w:pPr>
      <w:r>
        <w:rPr>
          <w:rFonts w:ascii="Calibri" w:hAnsi="Calibri"/>
          <w:b w:val="0"/>
          <w:i w:val="0"/>
          <w:color w:val="1A2A42"/>
          <w:sz w:val="20"/>
        </w:rPr>
        <w:t>JoinDefinition with cardinality (1:1, 1:N, M:N) and safety flag -- M:N joins require explicit fan-out guard</w:t>
      </w:r>
    </w:p>
    <w:p>
      <w:pPr>
        <w:pStyle w:val="ListBullet"/>
        <w:spacing w:before="20" w:after="20"/>
        <w:ind w:left="360"/>
      </w:pPr>
      <w:r>
        <w:rPr>
          <w:rFonts w:ascii="Calibri" w:hAnsi="Calibri"/>
          <w:b w:val="0"/>
          <w:i w:val="0"/>
          <w:color w:val="1A2A42"/>
          <w:sz w:val="20"/>
        </w:rPr>
        <w:t>FiscalCalendar -- fiscal year start, quarter offsets, 4-5-4 or 4-4-5 week patterns</w:t>
      </w:r>
    </w:p>
    <w:p>
      <w:pPr>
        <w:pStyle w:val="ListBullet"/>
        <w:spacing w:before="20" w:after="20"/>
        <w:ind w:left="360"/>
      </w:pPr>
      <w:r>
        <w:rPr>
          <w:rFonts w:ascii="Calibri" w:hAnsi="Calibri"/>
          <w:b w:val="0"/>
          <w:i w:val="0"/>
          <w:color w:val="1A2A42"/>
          <w:sz w:val="20"/>
        </w:rPr>
        <w:t>RLS policies -- row-level filter expressions injected per user role before SQL execution</w:t>
      </w:r>
    </w:p>
    <w:p>
      <w:pPr>
        <w:pStyle w:val="ListBullet"/>
        <w:spacing w:before="20" w:after="20"/>
        <w:ind w:left="360"/>
      </w:pPr>
      <w:r>
        <w:rPr>
          <w:rFonts w:ascii="Calibri" w:hAnsi="Calibri"/>
          <w:b w:val="0"/>
          <w:i w:val="0"/>
          <w:color w:val="1A2A42"/>
          <w:sz w:val="20"/>
        </w:rPr>
        <w:t>CLS policies -- column suppression or masking per role (e.g., salary masked for non-HR)</w:t>
      </w:r>
    </w:p>
    <w:p>
      <w:pPr>
        <w:pStyle w:val="ListBullet"/>
        <w:spacing w:before="20" w:after="20"/>
        <w:ind w:left="360"/>
      </w:pPr>
      <w:r>
        <w:rPr>
          <w:rFonts w:ascii="Calibri" w:hAnsi="Calibri"/>
          <w:b w:val="0"/>
          <w:i w:val="0"/>
          <w:color w:val="1A2A42"/>
          <w:sz w:val="20"/>
        </w:rPr>
        <w:t>Semantic versioning -- model changes are versioned; evidence nodes reference the model version used</w:t>
      </w:r>
    </w:p>
    <w:p>
      <w:pPr>
        <w:spacing w:before="240" w:after="60"/>
      </w:pPr>
      <w:r>
        <w:rPr>
          <w:rFonts w:ascii="Cambria" w:hAnsi="Cambria"/>
          <w:b/>
          <w:i w:val="0"/>
          <w:color w:val="3B8BEB"/>
          <w:sz w:val="24"/>
        </w:rPr>
        <w:t>5.3 Tool Registry -- 11 Tools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shd w:val="clear" w:color="auto" w:fill="0C1A2E"/>
            <w:vAlign w:val="center"/>
          </w:tcPr>
          <w:p>
            <w:pPr>
              <w:spacing w:before="60" w:after="60"/>
            </w:pPr>
            <w:r>
              <w:rPr>
                <w:rFonts w:ascii="Calibri" w:hAnsi="Calibri"/>
                <w:b/>
                <w:i w:val="0"/>
                <w:color w:val="FFFFFF"/>
                <w:sz w:val="19"/>
              </w:rPr>
              <w:t>Tool</w:t>
            </w:r>
          </w:p>
        </w:tc>
        <w:tc>
          <w:tcPr>
            <w:tcW w:type="dxa" w:w="2736"/>
            <w:shd w:val="clear" w:color="auto" w:fill="0C1A2E"/>
            <w:vAlign w:val="center"/>
          </w:tcPr>
          <w:p>
            <w:pPr>
              <w:spacing w:before="60" w:after="60"/>
            </w:pPr>
            <w:r>
              <w:rPr>
                <w:rFonts w:ascii="Calibri" w:hAnsi="Calibri"/>
                <w:b/>
                <w:i w:val="0"/>
                <w:color w:val="FFFFFF"/>
                <w:sz w:val="19"/>
              </w:rPr>
              <w:t>Input</w:t>
            </w:r>
          </w:p>
        </w:tc>
        <w:tc>
          <w:tcPr>
            <w:tcW w:type="dxa" w:w="2736"/>
            <w:shd w:val="clear" w:color="auto" w:fill="0C1A2E"/>
            <w:vAlign w:val="center"/>
          </w:tcPr>
          <w:p>
            <w:pPr>
              <w:spacing w:before="60" w:after="60"/>
            </w:pPr>
            <w:r>
              <w:rPr>
                <w:rFonts w:ascii="Calibri" w:hAnsi="Calibri"/>
                <w:b/>
                <w:i w:val="0"/>
                <w:color w:val="FFFFFF"/>
                <w:sz w:val="19"/>
              </w:rPr>
              <w:t>Output</w:t>
            </w:r>
          </w:p>
        </w:tc>
        <w:tc>
          <w:tcPr>
            <w:tcW w:type="dxa" w:w="2304"/>
            <w:shd w:val="clear" w:color="auto" w:fill="0C1A2E"/>
            <w:vAlign w:val="center"/>
          </w:tcPr>
          <w:p>
            <w:pPr>
              <w:spacing w:before="60" w:after="60"/>
            </w:pPr>
            <w:r>
              <w:rPr>
                <w:rFonts w:ascii="Calibri" w:hAnsi="Calibri"/>
                <w:b/>
                <w:i w:val="0"/>
                <w:color w:val="FFFFFF"/>
                <w:sz w:val="19"/>
              </w:rPr>
              <w:t>Engine</w:t>
            </w:r>
          </w:p>
        </w:tc>
      </w:tr>
      <w:tr>
        <w:tc>
          <w:tcPr>
            <w:tcW w:type="dxa" w:w="2268"/>
            <w:shd w:val="clear" w:color="auto" w:fill="F0F4FA"/>
            <w:vAlign w:val="center"/>
          </w:tcPr>
          <w:p>
            <w:pPr>
              <w:spacing w:before="40" w:after="40"/>
            </w:pPr>
            <w:r>
              <w:rPr>
                <w:rFonts w:ascii="Calibri" w:hAnsi="Calibri"/>
                <w:b w:val="0"/>
                <w:i w:val="0"/>
                <w:color w:val="1A2A42"/>
                <w:sz w:val="19"/>
              </w:rPr>
              <w:t>SQLTool</w:t>
            </w:r>
          </w:p>
        </w:tc>
        <w:tc>
          <w:tcPr>
            <w:tcW w:type="dxa" w:w="2268"/>
            <w:shd w:val="clear" w:color="auto" w:fill="F0F4FA"/>
            <w:vAlign w:val="center"/>
          </w:tcPr>
          <w:p>
            <w:pPr>
              <w:spacing w:before="40" w:after="40"/>
            </w:pPr>
            <w:r>
              <w:rPr>
                <w:rFonts w:ascii="Calibri" w:hAnsi="Calibri"/>
                <w:b w:val="0"/>
                <w:i w:val="0"/>
                <w:color w:val="1A2A42"/>
                <w:sz w:val="19"/>
              </w:rPr>
              <w:t>ValidatedSQL + DBConfig</w:t>
            </w:r>
          </w:p>
        </w:tc>
        <w:tc>
          <w:tcPr>
            <w:tcW w:type="dxa" w:w="2268"/>
            <w:shd w:val="clear" w:color="auto" w:fill="F0F4FA"/>
            <w:vAlign w:val="center"/>
          </w:tcPr>
          <w:p>
            <w:pPr>
              <w:spacing w:before="40" w:after="40"/>
            </w:pPr>
            <w:r>
              <w:rPr>
                <w:rFonts w:ascii="Calibri" w:hAnsi="Calibri"/>
                <w:b w:val="0"/>
                <w:i w:val="0"/>
                <w:color w:val="1A2A42"/>
                <w:sz w:val="19"/>
              </w:rPr>
              <w:t>DataFrame + row count</w:t>
            </w:r>
          </w:p>
        </w:tc>
        <w:tc>
          <w:tcPr>
            <w:tcW w:type="dxa" w:w="2268"/>
            <w:shd w:val="clear" w:color="auto" w:fill="F0F4FA"/>
            <w:vAlign w:val="center"/>
          </w:tcPr>
          <w:p>
            <w:pPr>
              <w:spacing w:before="40" w:after="40"/>
            </w:pPr>
            <w:r>
              <w:rPr>
                <w:rFonts w:ascii="Calibri" w:hAnsi="Calibri"/>
                <w:b w:val="0"/>
                <w:i w:val="0"/>
                <w:color w:val="1A2A42"/>
                <w:sz w:val="19"/>
              </w:rPr>
              <w:t>DatabaseAdapter</w:t>
            </w:r>
          </w:p>
        </w:tc>
      </w:tr>
      <w:tr>
        <w:tc>
          <w:tcPr>
            <w:tcW w:type="dxa" w:w="2268"/>
            <w:shd w:val="clear" w:color="auto" w:fill="FFFFFF"/>
            <w:vAlign w:val="center"/>
          </w:tcPr>
          <w:p>
            <w:pPr>
              <w:spacing w:before="40" w:after="40"/>
            </w:pPr>
            <w:r>
              <w:rPr>
                <w:rFonts w:ascii="Calibri" w:hAnsi="Calibri"/>
                <w:b w:val="0"/>
                <w:i w:val="0"/>
                <w:color w:val="1A2A42"/>
                <w:sz w:val="19"/>
              </w:rPr>
              <w:t>PythonAnalyticsTool</w:t>
            </w:r>
          </w:p>
        </w:tc>
        <w:tc>
          <w:tcPr>
            <w:tcW w:type="dxa" w:w="2268"/>
            <w:shd w:val="clear" w:color="auto" w:fill="FFFFFF"/>
            <w:vAlign w:val="center"/>
          </w:tcPr>
          <w:p>
            <w:pPr>
              <w:spacing w:before="40" w:after="40"/>
            </w:pPr>
            <w:r>
              <w:rPr>
                <w:rFonts w:ascii="Calibri" w:hAnsi="Calibri"/>
                <w:b w:val="0"/>
                <w:i w:val="0"/>
                <w:color w:val="1A2A42"/>
                <w:sz w:val="19"/>
              </w:rPr>
              <w:t>Python code (LLM-generated)</w:t>
            </w:r>
          </w:p>
        </w:tc>
        <w:tc>
          <w:tcPr>
            <w:tcW w:type="dxa" w:w="2268"/>
            <w:shd w:val="clear" w:color="auto" w:fill="FFFFFF"/>
            <w:vAlign w:val="center"/>
          </w:tcPr>
          <w:p>
            <w:pPr>
              <w:spacing w:before="40" w:after="40"/>
            </w:pPr>
            <w:r>
              <w:rPr>
                <w:rFonts w:ascii="Calibri" w:hAnsi="Calibri"/>
                <w:b w:val="0"/>
                <w:i w:val="0"/>
                <w:color w:val="1A2A42"/>
                <w:sz w:val="19"/>
              </w:rPr>
              <w:t>Computed scalar / DataFrame</w:t>
            </w:r>
          </w:p>
        </w:tc>
        <w:tc>
          <w:tcPr>
            <w:tcW w:type="dxa" w:w="2268"/>
            <w:shd w:val="clear" w:color="auto" w:fill="FFFFFF"/>
            <w:vAlign w:val="center"/>
          </w:tcPr>
          <w:p>
            <w:pPr>
              <w:spacing w:before="40" w:after="40"/>
            </w:pPr>
            <w:r>
              <w:rPr>
                <w:rFonts w:ascii="Calibri" w:hAnsi="Calibri"/>
                <w:b w:val="0"/>
                <w:i w:val="0"/>
                <w:color w:val="1A2A42"/>
                <w:sz w:val="19"/>
              </w:rPr>
              <w:t>Sandboxed exec</w:t>
            </w:r>
          </w:p>
        </w:tc>
      </w:tr>
      <w:tr>
        <w:tc>
          <w:tcPr>
            <w:tcW w:type="dxa" w:w="2268"/>
            <w:shd w:val="clear" w:color="auto" w:fill="F0F4FA"/>
            <w:vAlign w:val="center"/>
          </w:tcPr>
          <w:p>
            <w:pPr>
              <w:spacing w:before="40" w:after="40"/>
            </w:pPr>
            <w:r>
              <w:rPr>
                <w:rFonts w:ascii="Calibri" w:hAnsi="Calibri"/>
                <w:b w:val="0"/>
                <w:i w:val="0"/>
                <w:color w:val="1A2A42"/>
                <w:sz w:val="19"/>
              </w:rPr>
              <w:t>StatisticsTool</w:t>
            </w:r>
          </w:p>
        </w:tc>
        <w:tc>
          <w:tcPr>
            <w:tcW w:type="dxa" w:w="2268"/>
            <w:shd w:val="clear" w:color="auto" w:fill="F0F4FA"/>
            <w:vAlign w:val="center"/>
          </w:tcPr>
          <w:p>
            <w:pPr>
              <w:spacing w:before="40" w:after="40"/>
            </w:pPr>
            <w:r>
              <w:rPr>
                <w:rFonts w:ascii="Calibri" w:hAnsi="Calibri"/>
                <w:b w:val="0"/>
                <w:i w:val="0"/>
                <w:color w:val="1A2A42"/>
                <w:sz w:val="19"/>
              </w:rPr>
              <w:t>DataFrame + StatisticalOpSpec</w:t>
            </w:r>
          </w:p>
        </w:tc>
        <w:tc>
          <w:tcPr>
            <w:tcW w:type="dxa" w:w="2268"/>
            <w:shd w:val="clear" w:color="auto" w:fill="F0F4FA"/>
            <w:vAlign w:val="center"/>
          </w:tcPr>
          <w:p>
            <w:pPr>
              <w:spacing w:before="40" w:after="40"/>
            </w:pPr>
            <w:r>
              <w:rPr>
                <w:rFonts w:ascii="Calibri" w:hAnsi="Calibri"/>
                <w:b w:val="0"/>
                <w:i w:val="0"/>
                <w:color w:val="1A2A42"/>
                <w:sz w:val="19"/>
              </w:rPr>
              <w:t>StatisticalResult with p-value</w:t>
            </w:r>
          </w:p>
        </w:tc>
        <w:tc>
          <w:tcPr>
            <w:tcW w:type="dxa" w:w="2268"/>
            <w:shd w:val="clear" w:color="auto" w:fill="F0F4FA"/>
            <w:vAlign w:val="center"/>
          </w:tcPr>
          <w:p>
            <w:pPr>
              <w:spacing w:before="40" w:after="40"/>
            </w:pPr>
            <w:r>
              <w:rPr>
                <w:rFonts w:ascii="Calibri" w:hAnsi="Calibri"/>
                <w:b w:val="0"/>
                <w:i w:val="0"/>
                <w:color w:val="1A2A42"/>
                <w:sz w:val="19"/>
              </w:rPr>
              <w:t>SciPy / Statsmodels</w:t>
            </w:r>
          </w:p>
        </w:tc>
      </w:tr>
      <w:tr>
        <w:tc>
          <w:tcPr>
            <w:tcW w:type="dxa" w:w="2268"/>
            <w:shd w:val="clear" w:color="auto" w:fill="FFFFFF"/>
            <w:vAlign w:val="center"/>
          </w:tcPr>
          <w:p>
            <w:pPr>
              <w:spacing w:before="40" w:after="40"/>
            </w:pPr>
            <w:r>
              <w:rPr>
                <w:rFonts w:ascii="Calibri" w:hAnsi="Calibri"/>
                <w:b w:val="0"/>
                <w:i w:val="0"/>
                <w:color w:val="1A2A42"/>
                <w:sz w:val="19"/>
              </w:rPr>
              <w:t>TimeSeriesTool</w:t>
            </w:r>
          </w:p>
        </w:tc>
        <w:tc>
          <w:tcPr>
            <w:tcW w:type="dxa" w:w="2268"/>
            <w:shd w:val="clear" w:color="auto" w:fill="FFFFFF"/>
            <w:vAlign w:val="center"/>
          </w:tcPr>
          <w:p>
            <w:pPr>
              <w:spacing w:before="40" w:after="40"/>
            </w:pPr>
            <w:r>
              <w:rPr>
                <w:rFonts w:ascii="Calibri" w:hAnsi="Calibri"/>
                <w:b w:val="0"/>
                <w:i w:val="0"/>
                <w:color w:val="1A2A42"/>
                <w:sz w:val="19"/>
              </w:rPr>
              <w:t>TimeSeries DataFrame + config</w:t>
            </w:r>
          </w:p>
        </w:tc>
        <w:tc>
          <w:tcPr>
            <w:tcW w:type="dxa" w:w="2268"/>
            <w:shd w:val="clear" w:color="auto" w:fill="FFFFFF"/>
            <w:vAlign w:val="center"/>
          </w:tcPr>
          <w:p>
            <w:pPr>
              <w:spacing w:before="40" w:after="40"/>
            </w:pPr>
            <w:r>
              <w:rPr>
                <w:rFonts w:ascii="Calibri" w:hAnsi="Calibri"/>
                <w:b w:val="0"/>
                <w:i w:val="0"/>
                <w:color w:val="1A2A42"/>
                <w:sz w:val="19"/>
              </w:rPr>
              <w:t>Decomposition (trend/seasonal)</w:t>
            </w:r>
          </w:p>
        </w:tc>
        <w:tc>
          <w:tcPr>
            <w:tcW w:type="dxa" w:w="2268"/>
            <w:shd w:val="clear" w:color="auto" w:fill="FFFFFF"/>
            <w:vAlign w:val="center"/>
          </w:tcPr>
          <w:p>
            <w:pPr>
              <w:spacing w:before="40" w:after="40"/>
            </w:pPr>
            <w:r>
              <w:rPr>
                <w:rFonts w:ascii="Calibri" w:hAnsi="Calibri"/>
                <w:b w:val="0"/>
                <w:i w:val="0"/>
                <w:color w:val="1A2A42"/>
                <w:sz w:val="19"/>
              </w:rPr>
              <w:t>Statsmodels STL</w:t>
            </w:r>
          </w:p>
        </w:tc>
      </w:tr>
      <w:tr>
        <w:tc>
          <w:tcPr>
            <w:tcW w:type="dxa" w:w="2268"/>
            <w:shd w:val="clear" w:color="auto" w:fill="F0F4FA"/>
            <w:vAlign w:val="center"/>
          </w:tcPr>
          <w:p>
            <w:pPr>
              <w:spacing w:before="40" w:after="40"/>
            </w:pPr>
            <w:r>
              <w:rPr>
                <w:rFonts w:ascii="Calibri" w:hAnsi="Calibri"/>
                <w:b w:val="0"/>
                <w:i w:val="0"/>
                <w:color w:val="1A2A42"/>
                <w:sz w:val="19"/>
              </w:rPr>
              <w:t>ForecastTool</w:t>
            </w:r>
          </w:p>
        </w:tc>
        <w:tc>
          <w:tcPr>
            <w:tcW w:type="dxa" w:w="2268"/>
            <w:shd w:val="clear" w:color="auto" w:fill="F0F4FA"/>
            <w:vAlign w:val="center"/>
          </w:tcPr>
          <w:p>
            <w:pPr>
              <w:spacing w:before="40" w:after="40"/>
            </w:pPr>
            <w:r>
              <w:rPr>
                <w:rFonts w:ascii="Calibri" w:hAnsi="Calibri"/>
                <w:b w:val="0"/>
                <w:i w:val="0"/>
                <w:color w:val="1A2A42"/>
                <w:sz w:val="19"/>
              </w:rPr>
              <w:t>Historical series + horizon</w:t>
            </w:r>
          </w:p>
        </w:tc>
        <w:tc>
          <w:tcPr>
            <w:tcW w:type="dxa" w:w="2268"/>
            <w:shd w:val="clear" w:color="auto" w:fill="F0F4FA"/>
            <w:vAlign w:val="center"/>
          </w:tcPr>
          <w:p>
            <w:pPr>
              <w:spacing w:before="40" w:after="40"/>
            </w:pPr>
            <w:r>
              <w:rPr>
                <w:rFonts w:ascii="Calibri" w:hAnsi="Calibri"/>
                <w:b w:val="0"/>
                <w:i w:val="0"/>
                <w:color w:val="1A2A42"/>
                <w:sz w:val="19"/>
              </w:rPr>
              <w:t>ForecastResult + intervals</w:t>
            </w:r>
          </w:p>
        </w:tc>
        <w:tc>
          <w:tcPr>
            <w:tcW w:type="dxa" w:w="2268"/>
            <w:shd w:val="clear" w:color="auto" w:fill="F0F4FA"/>
            <w:vAlign w:val="center"/>
          </w:tcPr>
          <w:p>
            <w:pPr>
              <w:spacing w:before="40" w:after="40"/>
            </w:pPr>
            <w:r>
              <w:rPr>
                <w:rFonts w:ascii="Calibri" w:hAnsi="Calibri"/>
                <w:b w:val="0"/>
                <w:i w:val="0"/>
                <w:color w:val="1A2A42"/>
                <w:sz w:val="19"/>
              </w:rPr>
              <w:t>Prophet / ARIMA</w:t>
            </w:r>
          </w:p>
        </w:tc>
      </w:tr>
      <w:tr>
        <w:tc>
          <w:tcPr>
            <w:tcW w:type="dxa" w:w="2268"/>
            <w:shd w:val="clear" w:color="auto" w:fill="FFFFFF"/>
            <w:vAlign w:val="center"/>
          </w:tcPr>
          <w:p>
            <w:pPr>
              <w:spacing w:before="40" w:after="40"/>
            </w:pPr>
            <w:r>
              <w:rPr>
                <w:rFonts w:ascii="Calibri" w:hAnsi="Calibri"/>
                <w:b w:val="0"/>
                <w:i w:val="0"/>
                <w:color w:val="1A2A42"/>
                <w:sz w:val="19"/>
              </w:rPr>
              <w:t>AnomalyTool</w:t>
            </w:r>
          </w:p>
        </w:tc>
        <w:tc>
          <w:tcPr>
            <w:tcW w:type="dxa" w:w="2268"/>
            <w:shd w:val="clear" w:color="auto" w:fill="FFFFFF"/>
            <w:vAlign w:val="center"/>
          </w:tcPr>
          <w:p>
            <w:pPr>
              <w:spacing w:before="40" w:after="40"/>
            </w:pPr>
            <w:r>
              <w:rPr>
                <w:rFonts w:ascii="Calibri" w:hAnsi="Calibri"/>
                <w:b w:val="0"/>
                <w:i w:val="0"/>
                <w:color w:val="1A2A42"/>
                <w:sz w:val="19"/>
              </w:rPr>
              <w:t>DataFrame + sensitivity</w:t>
            </w:r>
          </w:p>
        </w:tc>
        <w:tc>
          <w:tcPr>
            <w:tcW w:type="dxa" w:w="2268"/>
            <w:shd w:val="clear" w:color="auto" w:fill="FFFFFF"/>
            <w:vAlign w:val="center"/>
          </w:tcPr>
          <w:p>
            <w:pPr>
              <w:spacing w:before="40" w:after="40"/>
            </w:pPr>
            <w:r>
              <w:rPr>
                <w:rFonts w:ascii="Calibri" w:hAnsi="Calibri"/>
                <w:b w:val="0"/>
                <w:i w:val="0"/>
                <w:color w:val="1A2A42"/>
                <w:sz w:val="19"/>
              </w:rPr>
              <w:t>AnomalyResult (score, flag)</w:t>
            </w:r>
          </w:p>
        </w:tc>
        <w:tc>
          <w:tcPr>
            <w:tcW w:type="dxa" w:w="2268"/>
            <w:shd w:val="clear" w:color="auto" w:fill="FFFFFF"/>
            <w:vAlign w:val="center"/>
          </w:tcPr>
          <w:p>
            <w:pPr>
              <w:spacing w:before="40" w:after="40"/>
            </w:pPr>
            <w:r>
              <w:rPr>
                <w:rFonts w:ascii="Calibri" w:hAnsi="Calibri"/>
                <w:b w:val="0"/>
                <w:i w:val="0"/>
                <w:color w:val="1A2A42"/>
                <w:sz w:val="19"/>
              </w:rPr>
              <w:t>sklearn Isolation Forest</w:t>
            </w:r>
          </w:p>
        </w:tc>
      </w:tr>
      <w:tr>
        <w:tc>
          <w:tcPr>
            <w:tcW w:type="dxa" w:w="2268"/>
            <w:shd w:val="clear" w:color="auto" w:fill="F0F4FA"/>
            <w:vAlign w:val="center"/>
          </w:tcPr>
          <w:p>
            <w:pPr>
              <w:spacing w:before="40" w:after="40"/>
            </w:pPr>
            <w:r>
              <w:rPr>
                <w:rFonts w:ascii="Calibri" w:hAnsi="Calibri"/>
                <w:b w:val="0"/>
                <w:i w:val="0"/>
                <w:color w:val="1A2A42"/>
                <w:sz w:val="19"/>
              </w:rPr>
              <w:t>DataQualityTool</w:t>
            </w:r>
          </w:p>
        </w:tc>
        <w:tc>
          <w:tcPr>
            <w:tcW w:type="dxa" w:w="2268"/>
            <w:shd w:val="clear" w:color="auto" w:fill="F0F4FA"/>
            <w:vAlign w:val="center"/>
          </w:tcPr>
          <w:p>
            <w:pPr>
              <w:spacing w:before="40" w:after="40"/>
            </w:pPr>
            <w:r>
              <w:rPr>
                <w:rFonts w:ascii="Calibri" w:hAnsi="Calibri"/>
                <w:b w:val="0"/>
                <w:i w:val="0"/>
                <w:color w:val="1A2A42"/>
                <w:sz w:val="19"/>
              </w:rPr>
              <w:t>DataFrame</w:t>
            </w:r>
          </w:p>
        </w:tc>
        <w:tc>
          <w:tcPr>
            <w:tcW w:type="dxa" w:w="2268"/>
            <w:shd w:val="clear" w:color="auto" w:fill="F0F4FA"/>
            <w:vAlign w:val="center"/>
          </w:tcPr>
          <w:p>
            <w:pPr>
              <w:spacing w:before="40" w:after="40"/>
            </w:pPr>
            <w:r>
              <w:rPr>
                <w:rFonts w:ascii="Calibri" w:hAnsi="Calibri"/>
                <w:b w:val="0"/>
                <w:i w:val="0"/>
                <w:color w:val="1A2A42"/>
                <w:sz w:val="19"/>
              </w:rPr>
              <w:t>Quality report (nulls, dupes)</w:t>
            </w:r>
          </w:p>
        </w:tc>
        <w:tc>
          <w:tcPr>
            <w:tcW w:type="dxa" w:w="2268"/>
            <w:shd w:val="clear" w:color="auto" w:fill="F0F4FA"/>
            <w:vAlign w:val="center"/>
          </w:tcPr>
          <w:p>
            <w:pPr>
              <w:spacing w:before="40" w:after="40"/>
            </w:pPr>
            <w:r>
              <w:rPr>
                <w:rFonts w:ascii="Calibri" w:hAnsi="Calibri"/>
                <w:b w:val="0"/>
                <w:i w:val="0"/>
                <w:color w:val="1A2A42"/>
                <w:sz w:val="19"/>
              </w:rPr>
              <w:t>Pandas + SQL</w:t>
            </w:r>
          </w:p>
        </w:tc>
      </w:tr>
      <w:tr>
        <w:tc>
          <w:tcPr>
            <w:tcW w:type="dxa" w:w="2268"/>
            <w:shd w:val="clear" w:color="auto" w:fill="FFFFFF"/>
            <w:vAlign w:val="center"/>
          </w:tcPr>
          <w:p>
            <w:pPr>
              <w:spacing w:before="40" w:after="40"/>
            </w:pPr>
            <w:r>
              <w:rPr>
                <w:rFonts w:ascii="Calibri" w:hAnsi="Calibri"/>
                <w:b w:val="0"/>
                <w:i w:val="0"/>
                <w:color w:val="1A2A42"/>
                <w:sz w:val="19"/>
              </w:rPr>
              <w:t>SemanticSearchTool</w:t>
            </w:r>
          </w:p>
        </w:tc>
        <w:tc>
          <w:tcPr>
            <w:tcW w:type="dxa" w:w="2268"/>
            <w:shd w:val="clear" w:color="auto" w:fill="FFFFFF"/>
            <w:vAlign w:val="center"/>
          </w:tcPr>
          <w:p>
            <w:pPr>
              <w:spacing w:before="40" w:after="40"/>
            </w:pPr>
            <w:r>
              <w:rPr>
                <w:rFonts w:ascii="Calibri" w:hAnsi="Calibri"/>
                <w:b w:val="0"/>
                <w:i w:val="0"/>
                <w:color w:val="1A2A42"/>
                <w:sz w:val="19"/>
              </w:rPr>
              <w:t>Query string</w:t>
            </w:r>
          </w:p>
        </w:tc>
        <w:tc>
          <w:tcPr>
            <w:tcW w:type="dxa" w:w="2268"/>
            <w:shd w:val="clear" w:color="auto" w:fill="FFFFFF"/>
            <w:vAlign w:val="center"/>
          </w:tcPr>
          <w:p>
            <w:pPr>
              <w:spacing w:before="40" w:after="40"/>
            </w:pPr>
            <w:r>
              <w:rPr>
                <w:rFonts w:ascii="Calibri" w:hAnsi="Calibri"/>
                <w:b w:val="0"/>
                <w:i w:val="0"/>
                <w:color w:val="1A2A42"/>
                <w:sz w:val="19"/>
              </w:rPr>
              <w:t>Ranked table/column hits</w:t>
            </w:r>
          </w:p>
        </w:tc>
        <w:tc>
          <w:tcPr>
            <w:tcW w:type="dxa" w:w="2268"/>
            <w:shd w:val="clear" w:color="auto" w:fill="FFFFFF"/>
            <w:vAlign w:val="center"/>
          </w:tcPr>
          <w:p>
            <w:pPr>
              <w:spacing w:before="40" w:after="40"/>
            </w:pPr>
            <w:r>
              <w:rPr>
                <w:rFonts w:ascii="Calibri" w:hAnsi="Calibri"/>
                <w:b w:val="0"/>
                <w:i w:val="0"/>
                <w:color w:val="1A2A42"/>
                <w:sz w:val="19"/>
              </w:rPr>
              <w:t>HybridRetriever</w:t>
            </w:r>
          </w:p>
        </w:tc>
      </w:tr>
      <w:tr>
        <w:tc>
          <w:tcPr>
            <w:tcW w:type="dxa" w:w="2268"/>
            <w:shd w:val="clear" w:color="auto" w:fill="F0F4FA"/>
            <w:vAlign w:val="center"/>
          </w:tcPr>
          <w:p>
            <w:pPr>
              <w:spacing w:before="40" w:after="40"/>
            </w:pPr>
            <w:r>
              <w:rPr>
                <w:rFonts w:ascii="Calibri" w:hAnsi="Calibri"/>
                <w:b w:val="0"/>
                <w:i w:val="0"/>
                <w:color w:val="1A2A42"/>
                <w:sz w:val="19"/>
              </w:rPr>
              <w:t>SchemaTool</w:t>
            </w:r>
          </w:p>
        </w:tc>
        <w:tc>
          <w:tcPr>
            <w:tcW w:type="dxa" w:w="2268"/>
            <w:shd w:val="clear" w:color="auto" w:fill="F0F4FA"/>
            <w:vAlign w:val="center"/>
          </w:tcPr>
          <w:p>
            <w:pPr>
              <w:spacing w:before="40" w:after="40"/>
            </w:pPr>
            <w:r>
              <w:rPr>
                <w:rFonts w:ascii="Calibri" w:hAnsi="Calibri"/>
                <w:b w:val="0"/>
                <w:i w:val="0"/>
                <w:color w:val="1A2A42"/>
                <w:sz w:val="19"/>
              </w:rPr>
              <w:t>Table name</w:t>
            </w:r>
          </w:p>
        </w:tc>
        <w:tc>
          <w:tcPr>
            <w:tcW w:type="dxa" w:w="2268"/>
            <w:shd w:val="clear" w:color="auto" w:fill="F0F4FA"/>
            <w:vAlign w:val="center"/>
          </w:tcPr>
          <w:p>
            <w:pPr>
              <w:spacing w:before="40" w:after="40"/>
            </w:pPr>
            <w:r>
              <w:rPr>
                <w:rFonts w:ascii="Calibri" w:hAnsi="Calibri"/>
                <w:b w:val="0"/>
                <w:i w:val="0"/>
                <w:color w:val="1A2A42"/>
                <w:sz w:val="19"/>
              </w:rPr>
              <w:t>Column definitions + samples</w:t>
            </w:r>
          </w:p>
        </w:tc>
        <w:tc>
          <w:tcPr>
            <w:tcW w:type="dxa" w:w="2268"/>
            <w:shd w:val="clear" w:color="auto" w:fill="F0F4FA"/>
            <w:vAlign w:val="center"/>
          </w:tcPr>
          <w:p>
            <w:pPr>
              <w:spacing w:before="40" w:after="40"/>
            </w:pPr>
            <w:r>
              <w:rPr>
                <w:rFonts w:ascii="Calibri" w:hAnsi="Calibri"/>
                <w:b w:val="0"/>
                <w:i w:val="0"/>
                <w:color w:val="1A2A42"/>
                <w:sz w:val="19"/>
              </w:rPr>
              <w:t>DatabaseAdapter</w:t>
            </w:r>
          </w:p>
        </w:tc>
      </w:tr>
      <w:tr>
        <w:tc>
          <w:tcPr>
            <w:tcW w:type="dxa" w:w="2268"/>
            <w:shd w:val="clear" w:color="auto" w:fill="FFFFFF"/>
            <w:vAlign w:val="center"/>
          </w:tcPr>
          <w:p>
            <w:pPr>
              <w:spacing w:before="40" w:after="40"/>
            </w:pPr>
            <w:r>
              <w:rPr>
                <w:rFonts w:ascii="Calibri" w:hAnsi="Calibri"/>
                <w:b w:val="0"/>
                <w:i w:val="0"/>
                <w:color w:val="1A2A42"/>
                <w:sz w:val="19"/>
              </w:rPr>
              <w:t>VisualizationTool</w:t>
            </w:r>
          </w:p>
        </w:tc>
        <w:tc>
          <w:tcPr>
            <w:tcW w:type="dxa" w:w="2268"/>
            <w:shd w:val="clear" w:color="auto" w:fill="FFFFFF"/>
            <w:vAlign w:val="center"/>
          </w:tcPr>
          <w:p>
            <w:pPr>
              <w:spacing w:before="40" w:after="40"/>
            </w:pPr>
            <w:r>
              <w:rPr>
                <w:rFonts w:ascii="Calibri" w:hAnsi="Calibri"/>
                <w:b w:val="0"/>
                <w:i w:val="0"/>
                <w:color w:val="1A2A42"/>
                <w:sz w:val="19"/>
              </w:rPr>
              <w:t>DataFrame + AnalyticalType</w:t>
            </w:r>
          </w:p>
        </w:tc>
        <w:tc>
          <w:tcPr>
            <w:tcW w:type="dxa" w:w="2268"/>
            <w:shd w:val="clear" w:color="auto" w:fill="FFFFFF"/>
            <w:vAlign w:val="center"/>
          </w:tcPr>
          <w:p>
            <w:pPr>
              <w:spacing w:before="40" w:after="40"/>
            </w:pPr>
            <w:r>
              <w:rPr>
                <w:rFonts w:ascii="Calibri" w:hAnsi="Calibri"/>
                <w:b w:val="0"/>
                <w:i w:val="0"/>
                <w:color w:val="1A2A42"/>
                <w:sz w:val="19"/>
              </w:rPr>
              <w:t>Vega-Lite JSON spec</w:t>
            </w:r>
          </w:p>
        </w:tc>
        <w:tc>
          <w:tcPr>
            <w:tcW w:type="dxa" w:w="2268"/>
            <w:shd w:val="clear" w:color="auto" w:fill="FFFFFF"/>
            <w:vAlign w:val="center"/>
          </w:tcPr>
          <w:p>
            <w:pPr>
              <w:spacing w:before="40" w:after="40"/>
            </w:pPr>
            <w:r>
              <w:rPr>
                <w:rFonts w:ascii="Calibri" w:hAnsi="Calibri"/>
                <w:b w:val="0"/>
                <w:i w:val="0"/>
                <w:color w:val="1A2A42"/>
                <w:sz w:val="19"/>
              </w:rPr>
              <w:t>VisualizationSelector</w:t>
            </w:r>
          </w:p>
        </w:tc>
      </w:tr>
      <w:tr>
        <w:tc>
          <w:tcPr>
            <w:tcW w:type="dxa" w:w="2268"/>
            <w:shd w:val="clear" w:color="auto" w:fill="F0F4FA"/>
            <w:vAlign w:val="center"/>
          </w:tcPr>
          <w:p>
            <w:pPr>
              <w:spacing w:before="40" w:after="40"/>
            </w:pPr>
            <w:r>
              <w:rPr>
                <w:rFonts w:ascii="Calibri" w:hAnsi="Calibri"/>
                <w:b w:val="0"/>
                <w:i w:val="0"/>
                <w:color w:val="1A2A42"/>
                <w:sz w:val="19"/>
              </w:rPr>
              <w:t>EvidenceTool</w:t>
            </w:r>
          </w:p>
        </w:tc>
        <w:tc>
          <w:tcPr>
            <w:tcW w:type="dxa" w:w="2268"/>
            <w:shd w:val="clear" w:color="auto" w:fill="F0F4FA"/>
            <w:vAlign w:val="center"/>
          </w:tcPr>
          <w:p>
            <w:pPr>
              <w:spacing w:before="40" w:after="40"/>
            </w:pPr>
            <w:r>
              <w:rPr>
                <w:rFonts w:ascii="Calibri" w:hAnsi="Calibri"/>
                <w:b w:val="0"/>
                <w:i w:val="0"/>
                <w:color w:val="1A2A42"/>
                <w:sz w:val="19"/>
              </w:rPr>
              <w:t>Claim + source artefacts</w:t>
            </w:r>
          </w:p>
        </w:tc>
        <w:tc>
          <w:tcPr>
            <w:tcW w:type="dxa" w:w="2268"/>
            <w:shd w:val="clear" w:color="auto" w:fill="F0F4FA"/>
            <w:vAlign w:val="center"/>
          </w:tcPr>
          <w:p>
            <w:pPr>
              <w:spacing w:before="40" w:after="40"/>
            </w:pPr>
            <w:r>
              <w:rPr>
                <w:rFonts w:ascii="Calibri" w:hAnsi="Calibri"/>
                <w:b w:val="0"/>
                <w:i w:val="0"/>
                <w:color w:val="1A2A42"/>
                <w:sz w:val="19"/>
              </w:rPr>
              <w:t>EvidenceNode (with hash)</w:t>
            </w:r>
          </w:p>
        </w:tc>
        <w:tc>
          <w:tcPr>
            <w:tcW w:type="dxa" w:w="2268"/>
            <w:shd w:val="clear" w:color="auto" w:fill="F0F4FA"/>
            <w:vAlign w:val="center"/>
          </w:tcPr>
          <w:p>
            <w:pPr>
              <w:spacing w:before="40" w:after="40"/>
            </w:pPr>
            <w:r>
              <w:rPr>
                <w:rFonts w:ascii="Calibri" w:hAnsi="Calibri"/>
                <w:b w:val="0"/>
                <w:i w:val="0"/>
                <w:color w:val="1A2A42"/>
                <w:sz w:val="19"/>
              </w:rPr>
              <w:t>Evidence Graph</w:t>
            </w:r>
          </w:p>
        </w:tc>
      </w:tr>
    </w:tbl>
    <w:p>
      <w:pPr>
        <w:spacing w:before="240" w:after="60"/>
      </w:pPr>
      <w:r>
        <w:rPr>
          <w:rFonts w:ascii="Cambria" w:hAnsi="Cambria"/>
          <w:b/>
          <w:i w:val="0"/>
          <w:color w:val="3B8BEB"/>
          <w:sz w:val="24"/>
        </w:rPr>
        <w:t>5.4 Multi-Layer Validation (L1-L9)</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76"/>
            <w:shd w:val="clear" w:color="auto" w:fill="0C1A2E"/>
            <w:vAlign w:val="center"/>
          </w:tcPr>
          <w:p>
            <w:pPr>
              <w:spacing w:before="60" w:after="60"/>
            </w:pPr>
            <w:r>
              <w:rPr>
                <w:rFonts w:ascii="Calibri" w:hAnsi="Calibri"/>
                <w:b/>
                <w:i w:val="0"/>
                <w:color w:val="FFFFFF"/>
                <w:sz w:val="19"/>
              </w:rPr>
              <w:t>Layer</w:t>
            </w:r>
          </w:p>
        </w:tc>
        <w:tc>
          <w:tcPr>
            <w:tcW w:type="dxa" w:w="2160"/>
            <w:shd w:val="clear" w:color="auto" w:fill="0C1A2E"/>
            <w:vAlign w:val="center"/>
          </w:tcPr>
          <w:p>
            <w:pPr>
              <w:spacing w:before="60" w:after="60"/>
            </w:pPr>
            <w:r>
              <w:rPr>
                <w:rFonts w:ascii="Calibri" w:hAnsi="Calibri"/>
                <w:b/>
                <w:i w:val="0"/>
                <w:color w:val="FFFFFF"/>
                <w:sz w:val="19"/>
              </w:rPr>
              <w:t>Name</w:t>
            </w:r>
          </w:p>
        </w:tc>
        <w:tc>
          <w:tcPr>
            <w:tcW w:type="dxa" w:w="4320"/>
            <w:shd w:val="clear" w:color="auto" w:fill="0C1A2E"/>
            <w:vAlign w:val="center"/>
          </w:tcPr>
          <w:p>
            <w:pPr>
              <w:spacing w:before="60" w:after="60"/>
            </w:pPr>
            <w:r>
              <w:rPr>
                <w:rFonts w:ascii="Calibri" w:hAnsi="Calibri"/>
                <w:b/>
                <w:i w:val="0"/>
                <w:color w:val="FFFFFF"/>
                <w:sz w:val="19"/>
              </w:rPr>
              <w:t>What It Checks</w:t>
            </w:r>
          </w:p>
        </w:tc>
        <w:tc>
          <w:tcPr>
            <w:tcW w:type="dxa" w:w="3168"/>
            <w:shd w:val="clear" w:color="auto" w:fill="0C1A2E"/>
            <w:vAlign w:val="center"/>
          </w:tcPr>
          <w:p>
            <w:pPr>
              <w:spacing w:before="60" w:after="60"/>
            </w:pPr>
            <w:r>
              <w:rPr>
                <w:rFonts w:ascii="Calibri" w:hAnsi="Calibri"/>
                <w:b/>
                <w:i w:val="0"/>
                <w:color w:val="FFFFFF"/>
                <w:sz w:val="19"/>
              </w:rPr>
              <w:t>Failure Action</w:t>
            </w:r>
          </w:p>
        </w:tc>
      </w:tr>
      <w:tr>
        <w:tc>
          <w:tcPr>
            <w:tcW w:type="dxa" w:w="2268"/>
            <w:shd w:val="clear" w:color="auto" w:fill="F0F4FA"/>
            <w:vAlign w:val="center"/>
          </w:tcPr>
          <w:p>
            <w:pPr>
              <w:spacing w:before="40" w:after="40"/>
            </w:pPr>
            <w:r>
              <w:rPr>
                <w:rFonts w:ascii="Calibri" w:hAnsi="Calibri"/>
                <w:b w:val="0"/>
                <w:i w:val="0"/>
                <w:color w:val="1A2A42"/>
                <w:sz w:val="19"/>
              </w:rPr>
              <w:t>L1</w:t>
            </w:r>
          </w:p>
        </w:tc>
        <w:tc>
          <w:tcPr>
            <w:tcW w:type="dxa" w:w="2268"/>
            <w:shd w:val="clear" w:color="auto" w:fill="F0F4FA"/>
            <w:vAlign w:val="center"/>
          </w:tcPr>
          <w:p>
            <w:pPr>
              <w:spacing w:before="40" w:after="40"/>
            </w:pPr>
            <w:r>
              <w:rPr>
                <w:rFonts w:ascii="Calibri" w:hAnsi="Calibri"/>
                <w:b w:val="0"/>
                <w:i w:val="0"/>
                <w:color w:val="1A2A42"/>
                <w:sz w:val="19"/>
              </w:rPr>
              <w:t>Security / AST</w:t>
            </w:r>
          </w:p>
        </w:tc>
        <w:tc>
          <w:tcPr>
            <w:tcW w:type="dxa" w:w="2268"/>
            <w:shd w:val="clear" w:color="auto" w:fill="F0F4FA"/>
            <w:vAlign w:val="center"/>
          </w:tcPr>
          <w:p>
            <w:pPr>
              <w:spacing w:before="40" w:after="40"/>
            </w:pPr>
            <w:r>
              <w:rPr>
                <w:rFonts w:ascii="Calibri" w:hAnsi="Calibri"/>
                <w:b w:val="0"/>
                <w:i w:val="0"/>
                <w:color w:val="1A2A42"/>
                <w:sz w:val="19"/>
              </w:rPr>
              <w:t>9 AST rules: no SELECT *, no DDL/DML, LIMIT enforced, RLS injected</w:t>
            </w:r>
          </w:p>
        </w:tc>
        <w:tc>
          <w:tcPr>
            <w:tcW w:type="dxa" w:w="2268"/>
            <w:shd w:val="clear" w:color="auto" w:fill="F0F4FA"/>
            <w:vAlign w:val="center"/>
          </w:tcPr>
          <w:p>
            <w:pPr>
              <w:spacing w:before="40" w:after="40"/>
            </w:pPr>
            <w:r>
              <w:rPr>
                <w:rFonts w:ascii="Calibri" w:hAnsi="Calibri"/>
                <w:b w:val="0"/>
                <w:i w:val="0"/>
                <w:color w:val="1A2A42"/>
                <w:sz w:val="19"/>
              </w:rPr>
              <w:t>Immediate halt, no retry</w:t>
            </w:r>
          </w:p>
        </w:tc>
      </w:tr>
      <w:tr>
        <w:tc>
          <w:tcPr>
            <w:tcW w:type="dxa" w:w="2268"/>
            <w:shd w:val="clear" w:color="auto" w:fill="FFFFFF"/>
            <w:vAlign w:val="center"/>
          </w:tcPr>
          <w:p>
            <w:pPr>
              <w:spacing w:before="40" w:after="40"/>
            </w:pPr>
            <w:r>
              <w:rPr>
                <w:rFonts w:ascii="Calibri" w:hAnsi="Calibri"/>
                <w:b w:val="0"/>
                <w:i w:val="0"/>
                <w:color w:val="1A2A42"/>
                <w:sz w:val="19"/>
              </w:rPr>
              <w:t>L2</w:t>
            </w:r>
          </w:p>
        </w:tc>
        <w:tc>
          <w:tcPr>
            <w:tcW w:type="dxa" w:w="2268"/>
            <w:shd w:val="clear" w:color="auto" w:fill="FFFFFF"/>
            <w:vAlign w:val="center"/>
          </w:tcPr>
          <w:p>
            <w:pPr>
              <w:spacing w:before="40" w:after="40"/>
            </w:pPr>
            <w:r>
              <w:rPr>
                <w:rFonts w:ascii="Calibri" w:hAnsi="Calibri"/>
                <w:b w:val="0"/>
                <w:i w:val="0"/>
                <w:color w:val="1A2A42"/>
                <w:sz w:val="19"/>
              </w:rPr>
              <w:t>SQL Syntax</w:t>
            </w:r>
          </w:p>
        </w:tc>
        <w:tc>
          <w:tcPr>
            <w:tcW w:type="dxa" w:w="2268"/>
            <w:shd w:val="clear" w:color="auto" w:fill="FFFFFF"/>
            <w:vAlign w:val="center"/>
          </w:tcPr>
          <w:p>
            <w:pPr>
              <w:spacing w:before="40" w:after="40"/>
            </w:pPr>
            <w:r>
              <w:rPr>
                <w:rFonts w:ascii="Calibri" w:hAnsi="Calibri"/>
                <w:b w:val="0"/>
                <w:i w:val="0"/>
                <w:color w:val="1A2A42"/>
                <w:sz w:val="19"/>
              </w:rPr>
              <w:t>SQLGlot parse; dialect-specific reserved words; balanced parentheses</w:t>
            </w:r>
          </w:p>
        </w:tc>
        <w:tc>
          <w:tcPr>
            <w:tcW w:type="dxa" w:w="2268"/>
            <w:shd w:val="clear" w:color="auto" w:fill="FFFFFF"/>
            <w:vAlign w:val="center"/>
          </w:tcPr>
          <w:p>
            <w:pPr>
              <w:spacing w:before="40" w:after="40"/>
            </w:pPr>
            <w:r>
              <w:rPr>
                <w:rFonts w:ascii="Calibri" w:hAnsi="Calibri"/>
                <w:b w:val="0"/>
                <w:i w:val="0"/>
                <w:color w:val="1A2A42"/>
                <w:sz w:val="19"/>
              </w:rPr>
              <w:t>Repair cycle (max 3)</w:t>
            </w:r>
          </w:p>
        </w:tc>
      </w:tr>
      <w:tr>
        <w:tc>
          <w:tcPr>
            <w:tcW w:type="dxa" w:w="2268"/>
            <w:shd w:val="clear" w:color="auto" w:fill="F0F4FA"/>
            <w:vAlign w:val="center"/>
          </w:tcPr>
          <w:p>
            <w:pPr>
              <w:spacing w:before="40" w:after="40"/>
            </w:pPr>
            <w:r>
              <w:rPr>
                <w:rFonts w:ascii="Calibri" w:hAnsi="Calibri"/>
                <w:b w:val="0"/>
                <w:i w:val="0"/>
                <w:color w:val="1A2A42"/>
                <w:sz w:val="19"/>
              </w:rPr>
              <w:t>L3</w:t>
            </w:r>
          </w:p>
        </w:tc>
        <w:tc>
          <w:tcPr>
            <w:tcW w:type="dxa" w:w="2268"/>
            <w:shd w:val="clear" w:color="auto" w:fill="F0F4FA"/>
            <w:vAlign w:val="center"/>
          </w:tcPr>
          <w:p>
            <w:pPr>
              <w:spacing w:before="40" w:after="40"/>
            </w:pPr>
            <w:r>
              <w:rPr>
                <w:rFonts w:ascii="Calibri" w:hAnsi="Calibri"/>
                <w:b w:val="0"/>
                <w:i w:val="0"/>
                <w:color w:val="1A2A42"/>
                <w:sz w:val="19"/>
              </w:rPr>
              <w:t>Semantic Intent</w:t>
            </w:r>
          </w:p>
        </w:tc>
        <w:tc>
          <w:tcPr>
            <w:tcW w:type="dxa" w:w="2268"/>
            <w:shd w:val="clear" w:color="auto" w:fill="F0F4FA"/>
            <w:vAlign w:val="center"/>
          </w:tcPr>
          <w:p>
            <w:pPr>
              <w:spacing w:before="40" w:after="40"/>
            </w:pPr>
            <w:r>
              <w:rPr>
                <w:rFonts w:ascii="Calibri" w:hAnsi="Calibri"/>
                <w:b w:val="0"/>
                <w:i w:val="0"/>
                <w:color w:val="1A2A42"/>
                <w:sz w:val="19"/>
              </w:rPr>
              <w:t>Column names exist; metric formula resolves; fiscal dates valid</w:t>
            </w:r>
          </w:p>
        </w:tc>
        <w:tc>
          <w:tcPr>
            <w:tcW w:type="dxa" w:w="2268"/>
            <w:shd w:val="clear" w:color="auto" w:fill="F0F4FA"/>
            <w:vAlign w:val="center"/>
          </w:tcPr>
          <w:p>
            <w:pPr>
              <w:spacing w:before="40" w:after="40"/>
            </w:pPr>
            <w:r>
              <w:rPr>
                <w:rFonts w:ascii="Calibri" w:hAnsi="Calibri"/>
                <w:b w:val="0"/>
                <w:i w:val="0"/>
                <w:color w:val="1A2A42"/>
                <w:sz w:val="19"/>
              </w:rPr>
              <w:t>Repair cycle (max 3)</w:t>
            </w:r>
          </w:p>
        </w:tc>
      </w:tr>
      <w:tr>
        <w:tc>
          <w:tcPr>
            <w:tcW w:type="dxa" w:w="2268"/>
            <w:shd w:val="clear" w:color="auto" w:fill="FFFFFF"/>
            <w:vAlign w:val="center"/>
          </w:tcPr>
          <w:p>
            <w:pPr>
              <w:spacing w:before="40" w:after="40"/>
            </w:pPr>
            <w:r>
              <w:rPr>
                <w:rFonts w:ascii="Calibri" w:hAnsi="Calibri"/>
                <w:b w:val="0"/>
                <w:i w:val="0"/>
                <w:color w:val="1A2A42"/>
                <w:sz w:val="19"/>
              </w:rPr>
              <w:t>L4</w:t>
            </w:r>
          </w:p>
        </w:tc>
        <w:tc>
          <w:tcPr>
            <w:tcW w:type="dxa" w:w="2268"/>
            <w:shd w:val="clear" w:color="auto" w:fill="FFFFFF"/>
            <w:vAlign w:val="center"/>
          </w:tcPr>
          <w:p>
            <w:pPr>
              <w:spacing w:before="40" w:after="40"/>
            </w:pPr>
            <w:r>
              <w:rPr>
                <w:rFonts w:ascii="Calibri" w:hAnsi="Calibri"/>
                <w:b w:val="0"/>
                <w:i w:val="0"/>
                <w:color w:val="1A2A42"/>
                <w:sz w:val="19"/>
              </w:rPr>
              <w:t>Business Intent</w:t>
            </w:r>
          </w:p>
        </w:tc>
        <w:tc>
          <w:tcPr>
            <w:tcW w:type="dxa" w:w="2268"/>
            <w:shd w:val="clear" w:color="auto" w:fill="FFFFFF"/>
            <w:vAlign w:val="center"/>
          </w:tcPr>
          <w:p>
            <w:pPr>
              <w:spacing w:before="40" w:after="40"/>
            </w:pPr>
            <w:r>
              <w:rPr>
                <w:rFonts w:ascii="Calibri" w:hAnsi="Calibri"/>
                <w:b w:val="0"/>
                <w:i w:val="0"/>
                <w:color w:val="1A2A42"/>
                <w:sz w:val="19"/>
              </w:rPr>
              <w:t>Result dimensions match user question; time range matches intent</w:t>
            </w:r>
          </w:p>
        </w:tc>
        <w:tc>
          <w:tcPr>
            <w:tcW w:type="dxa" w:w="2268"/>
            <w:shd w:val="clear" w:color="auto" w:fill="FFFFFF"/>
            <w:vAlign w:val="center"/>
          </w:tcPr>
          <w:p>
            <w:pPr>
              <w:spacing w:before="40" w:after="40"/>
            </w:pPr>
            <w:r>
              <w:rPr>
                <w:rFonts w:ascii="Calibri" w:hAnsi="Calibri"/>
                <w:b w:val="0"/>
                <w:i w:val="0"/>
                <w:color w:val="1A2A42"/>
                <w:sz w:val="19"/>
              </w:rPr>
              <w:t>Replan</w:t>
            </w:r>
          </w:p>
        </w:tc>
      </w:tr>
      <w:tr>
        <w:tc>
          <w:tcPr>
            <w:tcW w:type="dxa" w:w="2268"/>
            <w:shd w:val="clear" w:color="auto" w:fill="F0F4FA"/>
            <w:vAlign w:val="center"/>
          </w:tcPr>
          <w:p>
            <w:pPr>
              <w:spacing w:before="40" w:after="40"/>
            </w:pPr>
            <w:r>
              <w:rPr>
                <w:rFonts w:ascii="Calibri" w:hAnsi="Calibri"/>
                <w:b w:val="0"/>
                <w:i w:val="0"/>
                <w:color w:val="1A2A42"/>
                <w:sz w:val="19"/>
              </w:rPr>
              <w:t>L5</w:t>
            </w:r>
          </w:p>
        </w:tc>
        <w:tc>
          <w:tcPr>
            <w:tcW w:type="dxa" w:w="2268"/>
            <w:shd w:val="clear" w:color="auto" w:fill="F0F4FA"/>
            <w:vAlign w:val="center"/>
          </w:tcPr>
          <w:p>
            <w:pPr>
              <w:spacing w:before="40" w:after="40"/>
            </w:pPr>
            <w:r>
              <w:rPr>
                <w:rFonts w:ascii="Calibri" w:hAnsi="Calibri"/>
                <w:b w:val="0"/>
                <w:i w:val="0"/>
                <w:color w:val="1A2A42"/>
                <w:sz w:val="19"/>
              </w:rPr>
              <w:t>Join + Cardinality</w:t>
            </w:r>
          </w:p>
        </w:tc>
        <w:tc>
          <w:tcPr>
            <w:tcW w:type="dxa" w:w="2268"/>
            <w:shd w:val="clear" w:color="auto" w:fill="F0F4FA"/>
            <w:vAlign w:val="center"/>
          </w:tcPr>
          <w:p>
            <w:pPr>
              <w:spacing w:before="40" w:after="40"/>
            </w:pPr>
            <w:r>
              <w:rPr>
                <w:rFonts w:ascii="Calibri" w:hAnsi="Calibri"/>
                <w:b w:val="0"/>
                <w:i w:val="0"/>
                <w:color w:val="1A2A42"/>
                <w:sz w:val="19"/>
              </w:rPr>
              <w:t>Fan-out guard on M:N; intermediate row count within threshold</w:t>
            </w:r>
          </w:p>
        </w:tc>
        <w:tc>
          <w:tcPr>
            <w:tcW w:type="dxa" w:w="2268"/>
            <w:shd w:val="clear" w:color="auto" w:fill="F0F4FA"/>
            <w:vAlign w:val="center"/>
          </w:tcPr>
          <w:p>
            <w:pPr>
              <w:spacing w:before="40" w:after="40"/>
            </w:pPr>
            <w:r>
              <w:rPr>
                <w:rFonts w:ascii="Calibri" w:hAnsi="Calibri"/>
                <w:b w:val="0"/>
                <w:i w:val="0"/>
                <w:color w:val="1A2A42"/>
                <w:sz w:val="19"/>
              </w:rPr>
              <w:t>Replan</w:t>
            </w:r>
          </w:p>
        </w:tc>
      </w:tr>
      <w:tr>
        <w:tc>
          <w:tcPr>
            <w:tcW w:type="dxa" w:w="2268"/>
            <w:shd w:val="clear" w:color="auto" w:fill="FFFFFF"/>
            <w:vAlign w:val="center"/>
          </w:tcPr>
          <w:p>
            <w:pPr>
              <w:spacing w:before="40" w:after="40"/>
            </w:pPr>
            <w:r>
              <w:rPr>
                <w:rFonts w:ascii="Calibri" w:hAnsi="Calibri"/>
                <w:b w:val="0"/>
                <w:i w:val="0"/>
                <w:color w:val="1A2A42"/>
                <w:sz w:val="19"/>
              </w:rPr>
              <w:t>L6</w:t>
            </w:r>
          </w:p>
        </w:tc>
        <w:tc>
          <w:tcPr>
            <w:tcW w:type="dxa" w:w="2268"/>
            <w:shd w:val="clear" w:color="auto" w:fill="FFFFFF"/>
            <w:vAlign w:val="center"/>
          </w:tcPr>
          <w:p>
            <w:pPr>
              <w:spacing w:before="40" w:after="40"/>
            </w:pPr>
            <w:r>
              <w:rPr>
                <w:rFonts w:ascii="Calibri" w:hAnsi="Calibri"/>
                <w:b w:val="0"/>
                <w:i w:val="0"/>
                <w:color w:val="1A2A42"/>
                <w:sz w:val="19"/>
              </w:rPr>
              <w:t>Result Shape</w:t>
            </w:r>
          </w:p>
        </w:tc>
        <w:tc>
          <w:tcPr>
            <w:tcW w:type="dxa" w:w="2268"/>
            <w:shd w:val="clear" w:color="auto" w:fill="FFFFFF"/>
            <w:vAlign w:val="center"/>
          </w:tcPr>
          <w:p>
            <w:pPr>
              <w:spacing w:before="40" w:after="40"/>
            </w:pPr>
            <w:r>
              <w:rPr>
                <w:rFonts w:ascii="Calibri" w:hAnsi="Calibri"/>
                <w:b w:val="0"/>
                <w:i w:val="0"/>
                <w:color w:val="1A2A42"/>
                <w:sz w:val="19"/>
              </w:rPr>
              <w:t>Column types; null rate; row count vs expected grain</w:t>
            </w:r>
          </w:p>
        </w:tc>
        <w:tc>
          <w:tcPr>
            <w:tcW w:type="dxa" w:w="2268"/>
            <w:shd w:val="clear" w:color="auto" w:fill="FFFFFF"/>
            <w:vAlign w:val="center"/>
          </w:tcPr>
          <w:p>
            <w:pPr>
              <w:spacing w:before="40" w:after="40"/>
            </w:pPr>
            <w:r>
              <w:rPr>
                <w:rFonts w:ascii="Calibri" w:hAnsi="Calibri"/>
                <w:b w:val="0"/>
                <w:i w:val="0"/>
                <w:color w:val="1A2A42"/>
                <w:sz w:val="19"/>
              </w:rPr>
              <w:t>Replan</w:t>
            </w:r>
          </w:p>
        </w:tc>
      </w:tr>
      <w:tr>
        <w:tc>
          <w:tcPr>
            <w:tcW w:type="dxa" w:w="2268"/>
            <w:shd w:val="clear" w:color="auto" w:fill="F0F4FA"/>
            <w:vAlign w:val="center"/>
          </w:tcPr>
          <w:p>
            <w:pPr>
              <w:spacing w:before="40" w:after="40"/>
            </w:pPr>
            <w:r>
              <w:rPr>
                <w:rFonts w:ascii="Calibri" w:hAnsi="Calibri"/>
                <w:b w:val="0"/>
                <w:i w:val="0"/>
                <w:color w:val="1A2A42"/>
                <w:sz w:val="19"/>
              </w:rPr>
              <w:t>L7</w:t>
            </w:r>
          </w:p>
        </w:tc>
        <w:tc>
          <w:tcPr>
            <w:tcW w:type="dxa" w:w="2268"/>
            <w:shd w:val="clear" w:color="auto" w:fill="F0F4FA"/>
            <w:vAlign w:val="center"/>
          </w:tcPr>
          <w:p>
            <w:pPr>
              <w:spacing w:before="40" w:after="40"/>
            </w:pPr>
            <w:r>
              <w:rPr>
                <w:rFonts w:ascii="Calibri" w:hAnsi="Calibri"/>
                <w:b w:val="0"/>
                <w:i w:val="0"/>
                <w:color w:val="1A2A42"/>
                <w:sz w:val="19"/>
              </w:rPr>
              <w:t>Statistical Validity</w:t>
            </w:r>
          </w:p>
        </w:tc>
        <w:tc>
          <w:tcPr>
            <w:tcW w:type="dxa" w:w="2268"/>
            <w:shd w:val="clear" w:color="auto" w:fill="F0F4FA"/>
            <w:vAlign w:val="center"/>
          </w:tcPr>
          <w:p>
            <w:pPr>
              <w:spacing w:before="40" w:after="40"/>
            </w:pPr>
            <w:r>
              <w:rPr>
                <w:rFonts w:ascii="Calibri" w:hAnsi="Calibri"/>
                <w:b w:val="0"/>
                <w:i w:val="0"/>
                <w:color w:val="1A2A42"/>
                <w:sz w:val="19"/>
              </w:rPr>
              <w:t>p-values plausible; sample size sufficient for test; CI width finite</w:t>
            </w:r>
          </w:p>
        </w:tc>
        <w:tc>
          <w:tcPr>
            <w:tcW w:type="dxa" w:w="2268"/>
            <w:shd w:val="clear" w:color="auto" w:fill="F0F4FA"/>
            <w:vAlign w:val="center"/>
          </w:tcPr>
          <w:p>
            <w:pPr>
              <w:spacing w:before="40" w:after="40"/>
            </w:pPr>
            <w:r>
              <w:rPr>
                <w:rFonts w:ascii="Calibri" w:hAnsi="Calibri"/>
                <w:b w:val="0"/>
                <w:i w:val="0"/>
                <w:color w:val="1A2A42"/>
                <w:sz w:val="19"/>
              </w:rPr>
              <w:t>Replan</w:t>
            </w:r>
          </w:p>
        </w:tc>
      </w:tr>
      <w:tr>
        <w:tc>
          <w:tcPr>
            <w:tcW w:type="dxa" w:w="2268"/>
            <w:shd w:val="clear" w:color="auto" w:fill="FFFFFF"/>
            <w:vAlign w:val="center"/>
          </w:tcPr>
          <w:p>
            <w:pPr>
              <w:spacing w:before="40" w:after="40"/>
            </w:pPr>
            <w:r>
              <w:rPr>
                <w:rFonts w:ascii="Calibri" w:hAnsi="Calibri"/>
                <w:b w:val="0"/>
                <w:i w:val="0"/>
                <w:color w:val="1A2A42"/>
                <w:sz w:val="19"/>
              </w:rPr>
              <w:t>L8</w:t>
            </w:r>
          </w:p>
        </w:tc>
        <w:tc>
          <w:tcPr>
            <w:tcW w:type="dxa" w:w="2268"/>
            <w:shd w:val="clear" w:color="auto" w:fill="FFFFFF"/>
            <w:vAlign w:val="center"/>
          </w:tcPr>
          <w:p>
            <w:pPr>
              <w:spacing w:before="40" w:after="40"/>
            </w:pPr>
            <w:r>
              <w:rPr>
                <w:rFonts w:ascii="Calibri" w:hAnsi="Calibri"/>
                <w:b w:val="0"/>
                <w:i w:val="0"/>
                <w:color w:val="1A2A42"/>
                <w:sz w:val="19"/>
              </w:rPr>
              <w:t>Evidence Sufficiency</w:t>
            </w:r>
          </w:p>
        </w:tc>
        <w:tc>
          <w:tcPr>
            <w:tcW w:type="dxa" w:w="2268"/>
            <w:shd w:val="clear" w:color="auto" w:fill="FFFFFF"/>
            <w:vAlign w:val="center"/>
          </w:tcPr>
          <w:p>
            <w:pPr>
              <w:spacing w:before="40" w:after="40"/>
            </w:pPr>
            <w:r>
              <w:rPr>
                <w:rFonts w:ascii="Calibri" w:hAnsi="Calibri"/>
                <w:b w:val="0"/>
                <w:i w:val="0"/>
                <w:color w:val="1A2A42"/>
                <w:sz w:val="19"/>
              </w:rPr>
              <w:t>Every claim in planned response has a supporting EvidenceNode</w:t>
            </w:r>
          </w:p>
        </w:tc>
        <w:tc>
          <w:tcPr>
            <w:tcW w:type="dxa" w:w="2268"/>
            <w:shd w:val="clear" w:color="auto" w:fill="FFFFFF"/>
            <w:vAlign w:val="center"/>
          </w:tcPr>
          <w:p>
            <w:pPr>
              <w:spacing w:before="40" w:after="40"/>
            </w:pPr>
            <w:r>
              <w:rPr>
                <w:rFonts w:ascii="Calibri" w:hAnsi="Calibri"/>
                <w:b w:val="0"/>
                <w:i w:val="0"/>
                <w:color w:val="1A2A42"/>
                <w:sz w:val="19"/>
              </w:rPr>
              <w:t>Block response</w:t>
            </w:r>
          </w:p>
        </w:tc>
      </w:tr>
      <w:tr>
        <w:tc>
          <w:tcPr>
            <w:tcW w:type="dxa" w:w="2268"/>
            <w:shd w:val="clear" w:color="auto" w:fill="F0F4FA"/>
            <w:vAlign w:val="center"/>
          </w:tcPr>
          <w:p>
            <w:pPr>
              <w:spacing w:before="40" w:after="40"/>
            </w:pPr>
            <w:r>
              <w:rPr>
                <w:rFonts w:ascii="Calibri" w:hAnsi="Calibri"/>
                <w:b w:val="0"/>
                <w:i w:val="0"/>
                <w:color w:val="1A2A42"/>
                <w:sz w:val="19"/>
              </w:rPr>
              <w:t>L9</w:t>
            </w:r>
          </w:p>
        </w:tc>
        <w:tc>
          <w:tcPr>
            <w:tcW w:type="dxa" w:w="2268"/>
            <w:shd w:val="clear" w:color="auto" w:fill="F0F4FA"/>
            <w:vAlign w:val="center"/>
          </w:tcPr>
          <w:p>
            <w:pPr>
              <w:spacing w:before="40" w:after="40"/>
            </w:pPr>
            <w:r>
              <w:rPr>
                <w:rFonts w:ascii="Calibri" w:hAnsi="Calibri"/>
                <w:b w:val="0"/>
                <w:i w:val="0"/>
                <w:color w:val="1A2A42"/>
                <w:sz w:val="19"/>
              </w:rPr>
              <w:t>Reproducibility</w:t>
            </w:r>
          </w:p>
        </w:tc>
        <w:tc>
          <w:tcPr>
            <w:tcW w:type="dxa" w:w="2268"/>
            <w:shd w:val="clear" w:color="auto" w:fill="F0F4FA"/>
            <w:vAlign w:val="center"/>
          </w:tcPr>
          <w:p>
            <w:pPr>
              <w:spacing w:before="40" w:after="40"/>
            </w:pPr>
            <w:r>
              <w:rPr>
                <w:rFonts w:ascii="Calibri" w:hAnsi="Calibri"/>
                <w:b w:val="0"/>
                <w:i w:val="0"/>
                <w:color w:val="1A2A42"/>
                <w:sz w:val="19"/>
              </w:rPr>
              <w:t>code_hash matches; inputs hash matches; deterministic re-run passes</w:t>
            </w:r>
          </w:p>
        </w:tc>
        <w:tc>
          <w:tcPr>
            <w:tcW w:type="dxa" w:w="2268"/>
            <w:shd w:val="clear" w:color="auto" w:fill="F0F4FA"/>
            <w:vAlign w:val="center"/>
          </w:tcPr>
          <w:p>
            <w:pPr>
              <w:spacing w:before="40" w:after="40"/>
            </w:pPr>
            <w:r>
              <w:rPr>
                <w:rFonts w:ascii="Calibri" w:hAnsi="Calibri"/>
                <w:b w:val="0"/>
                <w:i w:val="0"/>
                <w:color w:val="1A2A42"/>
                <w:sz w:val="19"/>
              </w:rPr>
              <w:t>Flag as non-reproducible</w:t>
            </w:r>
          </w:p>
        </w:tc>
      </w:tr>
    </w:tbl>
    <w:p>
      <w:pPr>
        <w:spacing w:before="120" w:after="120"/>
        <w:pBdr>
          <w:bottom w:val="single" w:sz="4" w:color="D0D8E8"/>
        </w:pBdr>
      </w:pPr>
    </w:p>
    <w:p>
      <w:r>
        <w:br w:type="page"/>
      </w:r>
    </w:p>
    <w:p>
      <w:pPr>
        <w:spacing w:before="360" w:after="80"/>
        <w:pBdr>
          <w:left w:val="single" w:sz="24" w:color="00C896" w:space="8"/>
        </w:pBdr>
        <w:ind w:left="216"/>
      </w:pPr>
      <w:r>
        <w:rPr>
          <w:rFonts w:ascii="Cambria" w:hAnsi="Cambria"/>
          <w:b/>
          <w:i w:val="0"/>
          <w:color w:val="0C1A2E"/>
          <w:sz w:val="30"/>
        </w:rPr>
        <w:t>6. Use Cases</w:t>
      </w:r>
    </w:p>
    <w:p>
      <w:pPr>
        <w:spacing w:before="40" w:after="80"/>
      </w:pPr>
      <w:r>
        <w:rPr>
          <w:rFonts w:ascii="Calibri" w:hAnsi="Calibri"/>
          <w:b w:val="0"/>
          <w:i w:val="0"/>
          <w:color w:val="1A2A42"/>
          <w:sz w:val="20"/>
        </w:rPr>
        <w:t>The following use cases illustrate representative analytical patterns that TachyonIQ handles. Each case traces the routing tier, active tools, and evidence produced.</w:t>
      </w:r>
    </w:p>
    <w:p>
      <w:pPr>
        <w:spacing w:before="240" w:after="60"/>
      </w:pPr>
      <w:r>
        <w:rPr>
          <w:rFonts w:ascii="Cambria" w:hAnsi="Cambria"/>
          <w:b/>
          <w:i w:val="0"/>
          <w:color w:val="3B8BEB"/>
          <w:sz w:val="24"/>
        </w:rPr>
        <w:t>UC-01 -- Business Metric Query  (Tier: SIMPLE)</w:t>
      </w:r>
    </w:p>
    <w:p>
      <w:pPr>
        <w:spacing w:before="160" w:after="40"/>
      </w:pPr>
      <w:r>
        <w:rPr>
          <w:rFonts w:ascii="Calibri" w:hAnsi="Calibri"/>
          <w:b/>
          <w:i w:val="0"/>
          <w:color w:val="1A2A42"/>
          <w:sz w:val="21"/>
        </w:rPr>
        <w:t>Scenario</w:t>
      </w:r>
    </w:p>
    <w:p>
      <w:pPr>
        <w:spacing w:before="40" w:after="80"/>
      </w:pPr>
      <w:r>
        <w:rPr>
          <w:rFonts w:ascii="Calibri" w:hAnsi="Calibri"/>
          <w:b w:val="0"/>
          <w:i w:val="0"/>
          <w:color w:val="1A2A42"/>
          <w:sz w:val="20"/>
        </w:rPr>
        <w:t>A regional sales manager asks: 'What was total revenue by product category for Q3 2026?'</w:t>
      </w:r>
    </w:p>
    <w:p>
      <w:pPr>
        <w:spacing w:before="160" w:after="40"/>
      </w:pPr>
      <w:r>
        <w:rPr>
          <w:rFonts w:ascii="Calibri" w:hAnsi="Calibri"/>
          <w:b/>
          <w:i w:val="0"/>
          <w:color w:val="1A2A42"/>
          <w:sz w:val="21"/>
        </w:rPr>
        <w:t>Flow</w:t>
      </w:r>
    </w:p>
    <w:p>
      <w:pPr>
        <w:pStyle w:val="ListBullet"/>
        <w:spacing w:before="20" w:after="20"/>
        <w:ind w:left="360"/>
      </w:pPr>
      <w:r>
        <w:rPr>
          <w:rFonts w:ascii="Calibri" w:hAnsi="Calibri"/>
          <w:b w:val="0"/>
          <w:i w:val="0"/>
          <w:color w:val="1A2A42"/>
          <w:sz w:val="20"/>
        </w:rPr>
        <w:t>Complexity Router assigns SIMPLE tier (single metric, group-by, time filter)</w:t>
      </w:r>
    </w:p>
    <w:p>
      <w:pPr>
        <w:pStyle w:val="ListBullet"/>
        <w:spacing w:before="20" w:after="20"/>
        <w:ind w:left="360"/>
      </w:pPr>
      <w:r>
        <w:rPr>
          <w:rFonts w:ascii="Calibri" w:hAnsi="Calibri"/>
          <w:b w:val="0"/>
          <w:i w:val="0"/>
          <w:color w:val="1A2A42"/>
          <w:sz w:val="20"/>
        </w:rPr>
        <w:t>IntentExtractor: metric=revenue, dimension=product_category, time=Q3 2026</w:t>
      </w:r>
    </w:p>
    <w:p>
      <w:pPr>
        <w:pStyle w:val="ListBullet"/>
        <w:spacing w:before="20" w:after="20"/>
        <w:ind w:left="360"/>
      </w:pPr>
      <w:r>
        <w:rPr>
          <w:rFonts w:ascii="Calibri" w:hAnsi="Calibri"/>
          <w:b w:val="0"/>
          <w:i w:val="0"/>
          <w:color w:val="1A2A42"/>
          <w:sz w:val="20"/>
        </w:rPr>
        <w:t>Fast path: SemanticEngine resolves 'revenue' to orders.amount with SUM aggregation</w:t>
      </w:r>
    </w:p>
    <w:p>
      <w:pPr>
        <w:pStyle w:val="ListBullet"/>
        <w:spacing w:before="20" w:after="20"/>
        <w:ind w:left="360"/>
      </w:pPr>
      <w:r>
        <w:rPr>
          <w:rFonts w:ascii="Calibri" w:hAnsi="Calibri"/>
          <w:b w:val="0"/>
          <w:i w:val="0"/>
          <w:color w:val="1A2A42"/>
          <w:sz w:val="20"/>
        </w:rPr>
        <w:t>QueryPlanner generates a single GROUP BY query; SQLValidator passes all 9 rules</w:t>
      </w:r>
    </w:p>
    <w:p>
      <w:pPr>
        <w:pStyle w:val="ListBullet"/>
        <w:spacing w:before="20" w:after="20"/>
        <w:ind w:left="360"/>
      </w:pPr>
      <w:r>
        <w:rPr>
          <w:rFonts w:ascii="Calibri" w:hAnsi="Calibri"/>
          <w:b w:val="0"/>
          <w:i w:val="0"/>
          <w:color w:val="1A2A42"/>
          <w:sz w:val="20"/>
        </w:rPr>
        <w:t>DatabaseAdapter executes against PostgreSQL; result: 8-row DataFrame</w:t>
      </w:r>
    </w:p>
    <w:p>
      <w:pPr>
        <w:pStyle w:val="ListBullet"/>
        <w:spacing w:before="20" w:after="20"/>
        <w:ind w:left="360"/>
      </w:pPr>
      <w:r>
        <w:rPr>
          <w:rFonts w:ascii="Calibri" w:hAnsi="Calibri"/>
          <w:b w:val="0"/>
          <w:i w:val="0"/>
          <w:color w:val="1A2A42"/>
          <w:sz w:val="20"/>
        </w:rPr>
        <w:t>VisualizationSelector: bar chart (categorical dimension, single metric)</w:t>
      </w:r>
    </w:p>
    <w:p>
      <w:pPr>
        <w:spacing w:before="160" w:after="40"/>
      </w:pPr>
      <w:r>
        <w:rPr>
          <w:rFonts w:ascii="Calibri" w:hAnsi="Calibri"/>
          <w:b/>
          <w:i w:val="0"/>
          <w:color w:val="1A2A42"/>
          <w:sz w:val="21"/>
        </w:rPr>
        <w:t>Evidence</w:t>
      </w:r>
    </w:p>
    <w:p>
      <w:pPr>
        <w:spacing w:before="40" w:after="80"/>
      </w:pPr>
      <w:r>
        <w:rPr>
          <w:rFonts w:ascii="Calibri" w:hAnsi="Calibri"/>
          <w:b w:val="0"/>
          <w:i w:val="0"/>
          <w:color w:val="1A2A42"/>
          <w:sz w:val="20"/>
        </w:rPr>
        <w:t>EvidenceNode: SQL query → orders table → PostgreSQL. No statistical test (simple aggregation). Reproducible from session ID.</w:t>
      </w:r>
    </w:p>
    <w:p>
      <w:pPr>
        <w:spacing w:before="240" w:after="60"/>
      </w:pPr>
      <w:r>
        <w:rPr>
          <w:rFonts w:ascii="Cambria" w:hAnsi="Cambria"/>
          <w:b/>
          <w:i w:val="0"/>
          <w:color w:val="3B8BEB"/>
          <w:sz w:val="24"/>
        </w:rPr>
        <w:t>UC-02 -- Trend Analysis  (Tier: ANALYTICAL)</w:t>
      </w:r>
    </w:p>
    <w:p>
      <w:pPr>
        <w:spacing w:before="160" w:after="40"/>
      </w:pPr>
      <w:r>
        <w:rPr>
          <w:rFonts w:ascii="Calibri" w:hAnsi="Calibri"/>
          <w:b/>
          <w:i w:val="0"/>
          <w:color w:val="1A2A42"/>
          <w:sz w:val="21"/>
        </w:rPr>
        <w:t>Scenario</w:t>
      </w:r>
    </w:p>
    <w:p>
      <w:pPr>
        <w:spacing w:before="40" w:after="80"/>
      </w:pPr>
      <w:r>
        <w:rPr>
          <w:rFonts w:ascii="Calibri" w:hAnsi="Calibri"/>
          <w:b w:val="0"/>
          <w:i w:val="0"/>
          <w:color w:val="1A2A42"/>
          <w:sz w:val="20"/>
        </w:rPr>
        <w:t>A data analyst asks: 'Show me monthly active users over the last 12 months and highlight any significant trend.'</w:t>
      </w:r>
    </w:p>
    <w:p>
      <w:pPr>
        <w:spacing w:before="160" w:after="40"/>
      </w:pPr>
      <w:r>
        <w:rPr>
          <w:rFonts w:ascii="Calibri" w:hAnsi="Calibri"/>
          <w:b/>
          <w:i w:val="0"/>
          <w:color w:val="1A2A42"/>
          <w:sz w:val="21"/>
        </w:rPr>
        <w:t>Flow</w:t>
      </w:r>
    </w:p>
    <w:p>
      <w:pPr>
        <w:pStyle w:val="ListBullet"/>
        <w:spacing w:before="20" w:after="20"/>
        <w:ind w:left="360"/>
      </w:pPr>
      <w:r>
        <w:rPr>
          <w:rFonts w:ascii="Calibri" w:hAnsi="Calibri"/>
          <w:b w:val="0"/>
          <w:i w:val="0"/>
          <w:color w:val="1A2A42"/>
          <w:sz w:val="20"/>
        </w:rPr>
        <w:t>Complexity Router: ANALYTICAL (time series + statistical test)</w:t>
      </w:r>
    </w:p>
    <w:p>
      <w:pPr>
        <w:pStyle w:val="ListBullet"/>
        <w:spacing w:before="20" w:after="20"/>
        <w:ind w:left="360"/>
      </w:pPr>
      <w:r>
        <w:rPr>
          <w:rFonts w:ascii="Calibri" w:hAnsi="Calibri"/>
          <w:b w:val="0"/>
          <w:i w:val="0"/>
          <w:color w:val="1A2A42"/>
          <w:sz w:val="20"/>
        </w:rPr>
        <w:t>AIR: analytical_type=TIME_SERIES, metric=active_users, time_window=last_12_months, granularity=MONTH</w:t>
      </w:r>
    </w:p>
    <w:p>
      <w:pPr>
        <w:pStyle w:val="ListBullet"/>
        <w:spacing w:before="20" w:after="20"/>
        <w:ind w:left="360"/>
      </w:pPr>
      <w:r>
        <w:rPr>
          <w:rFonts w:ascii="Calibri" w:hAnsi="Calibri"/>
          <w:b w:val="0"/>
          <w:i w:val="0"/>
          <w:color w:val="1A2A42"/>
          <w:sz w:val="20"/>
        </w:rPr>
        <w:t>TimeSeriesTool applies STL decomposition; trend component extracted</w:t>
      </w:r>
    </w:p>
    <w:p>
      <w:pPr>
        <w:pStyle w:val="ListBullet"/>
        <w:spacing w:before="20" w:after="20"/>
        <w:ind w:left="360"/>
      </w:pPr>
      <w:r>
        <w:rPr>
          <w:rFonts w:ascii="Calibri" w:hAnsi="Calibri"/>
          <w:b w:val="0"/>
          <w:i w:val="0"/>
          <w:color w:val="1A2A42"/>
          <w:sz w:val="20"/>
        </w:rPr>
        <w:t>StatisticsTool applies Mann-Kendall test: τ=0.72, p=0.003 → significant upward trend</w:t>
      </w:r>
    </w:p>
    <w:p>
      <w:pPr>
        <w:pStyle w:val="ListBullet"/>
        <w:spacing w:before="20" w:after="20"/>
        <w:ind w:left="360"/>
      </w:pPr>
      <w:r>
        <w:rPr>
          <w:rFonts w:ascii="Calibri" w:hAnsi="Calibri"/>
          <w:b w:val="0"/>
          <w:i w:val="0"/>
          <w:color w:val="1A2A42"/>
          <w:sz w:val="20"/>
        </w:rPr>
        <w:t>InsightGenerator: 'Monthly active users show a statistically significant upward trend (Mann-Kendall p=0.003)'</w:t>
      </w:r>
    </w:p>
    <w:p>
      <w:pPr>
        <w:pStyle w:val="ListBullet"/>
        <w:spacing w:before="20" w:after="20"/>
        <w:ind w:left="360"/>
      </w:pPr>
      <w:r>
        <w:rPr>
          <w:rFonts w:ascii="Calibri" w:hAnsi="Calibri"/>
          <w:b w:val="0"/>
          <w:i w:val="0"/>
          <w:color w:val="1A2A42"/>
          <w:sz w:val="20"/>
        </w:rPr>
        <w:t>VisualizationSelector: line chart with trend overlay</w:t>
      </w:r>
    </w:p>
    <w:p>
      <w:pPr>
        <w:spacing w:before="160" w:after="40"/>
      </w:pPr>
      <w:r>
        <w:rPr>
          <w:rFonts w:ascii="Calibri" w:hAnsi="Calibri"/>
          <w:b/>
          <w:i w:val="0"/>
          <w:color w:val="1A2A42"/>
          <w:sz w:val="21"/>
        </w:rPr>
        <w:t>Evidence</w:t>
      </w:r>
    </w:p>
    <w:p>
      <w:pPr>
        <w:spacing w:before="40" w:after="80"/>
      </w:pPr>
      <w:r>
        <w:rPr>
          <w:rFonts w:ascii="Calibri" w:hAnsi="Calibri"/>
          <w:b w:val="0"/>
          <w:i w:val="0"/>
          <w:color w:val="1A2A42"/>
          <w:sz w:val="20"/>
        </w:rPr>
        <w:t>EvidenceNode: SQL → users table; Python code (STL decomposition); Mann-Kendall τ=0.72, p=0.003, 95% CI. Fully reproducible.</w:t>
      </w:r>
    </w:p>
    <w:p>
      <w:pPr>
        <w:spacing w:before="240" w:after="60"/>
      </w:pPr>
      <w:r>
        <w:rPr>
          <w:rFonts w:ascii="Cambria" w:hAnsi="Cambria"/>
          <w:b/>
          <w:i w:val="0"/>
          <w:color w:val="3B8BEB"/>
          <w:sz w:val="24"/>
        </w:rPr>
        <w:t>UC-03 -- Root Cause Analysis  (Tier: VERY_COMPLEX)</w:t>
      </w:r>
    </w:p>
    <w:p>
      <w:pPr>
        <w:spacing w:before="160" w:after="40"/>
      </w:pPr>
      <w:r>
        <w:rPr>
          <w:rFonts w:ascii="Calibri" w:hAnsi="Calibri"/>
          <w:b/>
          <w:i w:val="0"/>
          <w:color w:val="1A2A42"/>
          <w:sz w:val="21"/>
        </w:rPr>
        <w:t>Scenario</w:t>
      </w:r>
    </w:p>
    <w:p>
      <w:pPr>
        <w:spacing w:before="40" w:after="80"/>
      </w:pPr>
      <w:r>
        <w:rPr>
          <w:rFonts w:ascii="Calibri" w:hAnsi="Calibri"/>
          <w:b w:val="0"/>
          <w:i w:val="0"/>
          <w:color w:val="1A2A42"/>
          <w:sz w:val="20"/>
        </w:rPr>
        <w:t>A VP of Sales asks: 'Revenue dropped 18% in August compared to July. Why?'</w:t>
      </w:r>
    </w:p>
    <w:p>
      <w:pPr>
        <w:spacing w:before="160" w:after="40"/>
      </w:pPr>
      <w:r>
        <w:rPr>
          <w:rFonts w:ascii="Calibri" w:hAnsi="Calibri"/>
          <w:b/>
          <w:i w:val="0"/>
          <w:color w:val="1A2A42"/>
          <w:sz w:val="21"/>
        </w:rPr>
        <w:t>Flow</w:t>
      </w:r>
    </w:p>
    <w:p>
      <w:pPr>
        <w:pStyle w:val="ListBullet"/>
        <w:spacing w:before="20" w:after="20"/>
        <w:ind w:left="360"/>
      </w:pPr>
      <w:r>
        <w:rPr>
          <w:rFonts w:ascii="Calibri" w:hAnsi="Calibri"/>
          <w:b w:val="0"/>
          <w:i w:val="0"/>
          <w:color w:val="1A2A42"/>
          <w:sz w:val="20"/>
        </w:rPr>
        <w:t>Complexity Router: VERY_COMPLEX (RCA, multi-hypothesis, causal reasoning)</w:t>
      </w:r>
    </w:p>
    <w:p>
      <w:pPr>
        <w:pStyle w:val="ListBullet"/>
        <w:spacing w:before="20" w:after="20"/>
        <w:ind w:left="360"/>
      </w:pPr>
      <w:r>
        <w:rPr>
          <w:rFonts w:ascii="Calibri" w:hAnsi="Calibri"/>
          <w:b w:val="0"/>
          <w:i w:val="0"/>
          <w:color w:val="1A2A42"/>
          <w:sz w:val="20"/>
        </w:rPr>
        <w:t>Investigation Agent enters full 9-state loop with 20-step budget</w:t>
      </w:r>
    </w:p>
    <w:p>
      <w:pPr>
        <w:pStyle w:val="ListBullet"/>
        <w:spacing w:before="20" w:after="20"/>
        <w:ind w:left="360"/>
      </w:pPr>
      <w:r>
        <w:rPr>
          <w:rFonts w:ascii="Calibri" w:hAnsi="Calibri"/>
          <w:b w:val="0"/>
          <w:i w:val="0"/>
          <w:color w:val="1A2A42"/>
          <w:sz w:val="20"/>
        </w:rPr>
        <w:t>Hypothesis H1: Volume drop -- SQLTool confirms order count −22%</w:t>
      </w:r>
    </w:p>
    <w:p>
      <w:pPr>
        <w:pStyle w:val="ListBullet"/>
        <w:spacing w:before="20" w:after="20"/>
        <w:ind w:left="360"/>
      </w:pPr>
      <w:r>
        <w:rPr>
          <w:rFonts w:ascii="Calibri" w:hAnsi="Calibri"/>
          <w:b w:val="0"/>
          <w:i w:val="0"/>
          <w:color w:val="1A2A42"/>
          <w:sz w:val="20"/>
        </w:rPr>
        <w:t>Hypothesis H2: Price change -- SQLTool confirms ASP stable (+1.2%)</w:t>
      </w:r>
    </w:p>
    <w:p>
      <w:pPr>
        <w:pStyle w:val="ListBullet"/>
        <w:spacing w:before="20" w:after="20"/>
        <w:ind w:left="360"/>
      </w:pPr>
      <w:r>
        <w:rPr>
          <w:rFonts w:ascii="Calibri" w:hAnsi="Calibri"/>
          <w:b w:val="0"/>
          <w:i w:val="0"/>
          <w:color w:val="1A2A42"/>
          <w:sz w:val="20"/>
        </w:rPr>
        <w:t>Hypothesis H3: Segment decomposition -- StatisticsTool: enterprise segment −31%, SMB stable</w:t>
      </w:r>
    </w:p>
    <w:p>
      <w:pPr>
        <w:pStyle w:val="ListBullet"/>
        <w:spacing w:before="20" w:after="20"/>
        <w:ind w:left="360"/>
      </w:pPr>
      <w:r>
        <w:rPr>
          <w:rFonts w:ascii="Calibri" w:hAnsi="Calibri"/>
          <w:b w:val="0"/>
          <w:i w:val="0"/>
          <w:color w:val="1A2A42"/>
          <w:sz w:val="20"/>
        </w:rPr>
        <w:t>Hypothesis H4: Product mix -- SQLTool: flagship product stockout in wk 3-4 August</w:t>
      </w:r>
    </w:p>
    <w:p>
      <w:pPr>
        <w:pStyle w:val="ListBullet"/>
        <w:spacing w:before="20" w:after="20"/>
        <w:ind w:left="360"/>
      </w:pPr>
      <w:r>
        <w:rPr>
          <w:rFonts w:ascii="Calibri" w:hAnsi="Calibri"/>
          <w:b w:val="0"/>
          <w:i w:val="0"/>
          <w:color w:val="1A2A42"/>
          <w:sz w:val="20"/>
        </w:rPr>
        <w:t>Causal claim explicitly qualified: 'Associated with' (not 'caused by') -- observational data</w:t>
      </w:r>
    </w:p>
    <w:p>
      <w:pPr>
        <w:pStyle w:val="ListBullet"/>
        <w:spacing w:before="20" w:after="20"/>
        <w:ind w:left="360"/>
      </w:pPr>
      <w:r>
        <w:rPr>
          <w:rFonts w:ascii="Calibri" w:hAnsi="Calibri"/>
          <w:b w:val="0"/>
          <w:i w:val="0"/>
          <w:color w:val="1A2A42"/>
          <w:sz w:val="20"/>
        </w:rPr>
        <w:t>ResultCritic validates: all 4 hypotheses have evidence nodes; replan not required</w:t>
      </w:r>
    </w:p>
    <w:p>
      <w:pPr>
        <w:spacing w:before="160" w:after="40"/>
      </w:pPr>
      <w:r>
        <w:rPr>
          <w:rFonts w:ascii="Calibri" w:hAnsi="Calibri"/>
          <w:b/>
          <w:i w:val="0"/>
          <w:color w:val="1A2A42"/>
          <w:sz w:val="21"/>
        </w:rPr>
        <w:t>Evidence</w:t>
      </w:r>
    </w:p>
    <w:p>
      <w:pPr>
        <w:spacing w:before="40" w:after="80"/>
      </w:pPr>
      <w:r>
        <w:rPr>
          <w:rFonts w:ascii="Calibri" w:hAnsi="Calibri"/>
          <w:b w:val="0"/>
          <w:i w:val="0"/>
          <w:color w:val="1A2A42"/>
          <w:sz w:val="20"/>
        </w:rPr>
        <w:t>4 EvidenceNodes (volume, ASP, segment, product). No causal inference claim -- explicitly stated as association. Evidence chain traceable to 6 SQL queries.</w:t>
      </w:r>
    </w:p>
    <w:p>
      <w:pPr>
        <w:spacing w:before="240" w:after="60"/>
      </w:pPr>
      <w:r>
        <w:rPr>
          <w:rFonts w:ascii="Cambria" w:hAnsi="Cambria"/>
          <w:b/>
          <w:i w:val="0"/>
          <w:color w:val="3B8BEB"/>
          <w:sz w:val="24"/>
        </w:rPr>
        <w:t>UC-04 -- Anomaly Detection  (Tier: ANALYTICAL)</w:t>
      </w:r>
    </w:p>
    <w:p>
      <w:pPr>
        <w:spacing w:before="160" w:after="40"/>
      </w:pPr>
      <w:r>
        <w:rPr>
          <w:rFonts w:ascii="Calibri" w:hAnsi="Calibri"/>
          <w:b/>
          <w:i w:val="0"/>
          <w:color w:val="1A2A42"/>
          <w:sz w:val="21"/>
        </w:rPr>
        <w:t>Scenario</w:t>
      </w:r>
    </w:p>
    <w:p>
      <w:pPr>
        <w:spacing w:before="40" w:after="80"/>
      </w:pPr>
      <w:r>
        <w:rPr>
          <w:rFonts w:ascii="Calibri" w:hAnsi="Calibri"/>
          <w:b w:val="0"/>
          <w:i w:val="0"/>
          <w:color w:val="1A2A42"/>
          <w:sz w:val="20"/>
        </w:rPr>
        <w:t>A platform engineer asks: 'Flag any unusual API response time spikes in the last 7 days.'</w:t>
      </w:r>
    </w:p>
    <w:p>
      <w:pPr>
        <w:spacing w:before="160" w:after="40"/>
      </w:pPr>
      <w:r>
        <w:rPr>
          <w:rFonts w:ascii="Calibri" w:hAnsi="Calibri"/>
          <w:b/>
          <w:i w:val="0"/>
          <w:color w:val="1A2A42"/>
          <w:sz w:val="21"/>
        </w:rPr>
        <w:t>Flow</w:t>
      </w:r>
    </w:p>
    <w:p>
      <w:pPr>
        <w:pStyle w:val="ListBullet"/>
        <w:spacing w:before="20" w:after="20"/>
        <w:ind w:left="360"/>
      </w:pPr>
      <w:r>
        <w:rPr>
          <w:rFonts w:ascii="Calibri" w:hAnsi="Calibri"/>
          <w:b w:val="0"/>
          <w:i w:val="0"/>
          <w:color w:val="1A2A42"/>
          <w:sz w:val="20"/>
        </w:rPr>
        <w:t>Complexity Router: ANALYTICAL (anomaly detection on time-series metric)</w:t>
      </w:r>
    </w:p>
    <w:p>
      <w:pPr>
        <w:pStyle w:val="ListBullet"/>
        <w:spacing w:before="20" w:after="20"/>
        <w:ind w:left="360"/>
      </w:pPr>
      <w:r>
        <w:rPr>
          <w:rFonts w:ascii="Calibri" w:hAnsi="Calibri"/>
          <w:b w:val="0"/>
          <w:i w:val="0"/>
          <w:color w:val="1A2A42"/>
          <w:sz w:val="20"/>
        </w:rPr>
        <w:t>AnomalyTool: IQR-based contamination estimate = 0.04 (not fixed 0.05)</w:t>
      </w:r>
    </w:p>
    <w:p>
      <w:pPr>
        <w:pStyle w:val="ListBullet"/>
        <w:spacing w:before="20" w:after="20"/>
        <w:ind w:left="360"/>
      </w:pPr>
      <w:r>
        <w:rPr>
          <w:rFonts w:ascii="Calibri" w:hAnsi="Calibri"/>
          <w:b w:val="0"/>
          <w:i w:val="0"/>
          <w:color w:val="1A2A42"/>
          <w:sz w:val="20"/>
        </w:rPr>
        <w:t>Isolation Forest trained on 7-day hourly data; 3 anomalous windows identified</w:t>
      </w:r>
    </w:p>
    <w:p>
      <w:pPr>
        <w:pStyle w:val="ListBullet"/>
        <w:spacing w:before="20" w:after="20"/>
        <w:ind w:left="360"/>
      </w:pPr>
      <w:r>
        <w:rPr>
          <w:rFonts w:ascii="Calibri" w:hAnsi="Calibri"/>
          <w:b w:val="0"/>
          <w:i w:val="0"/>
          <w:color w:val="1A2A42"/>
          <w:sz w:val="20"/>
        </w:rPr>
        <w:t>StatisticsTool confirms each flagged window: z-score &gt; 3.5, p &lt; 0.001</w:t>
      </w:r>
    </w:p>
    <w:p>
      <w:pPr>
        <w:pStyle w:val="ListBullet"/>
        <w:spacing w:before="20" w:after="20"/>
        <w:ind w:left="360"/>
      </w:pPr>
      <w:r>
        <w:rPr>
          <w:rFonts w:ascii="Calibri" w:hAnsi="Calibri"/>
          <w:b w:val="0"/>
          <w:i w:val="0"/>
          <w:color w:val="1A2A42"/>
          <w:sz w:val="20"/>
        </w:rPr>
        <w:t>InsightGenerator: lists anomaly windows with timestamps, magnitude, and confidence</w:t>
      </w:r>
    </w:p>
    <w:p>
      <w:pPr>
        <w:spacing w:before="160" w:after="40"/>
      </w:pPr>
      <w:r>
        <w:rPr>
          <w:rFonts w:ascii="Calibri" w:hAnsi="Calibri"/>
          <w:b/>
          <w:i w:val="0"/>
          <w:color w:val="1A2A42"/>
          <w:sz w:val="21"/>
        </w:rPr>
        <w:t>Evidence</w:t>
      </w:r>
    </w:p>
    <w:p>
      <w:pPr>
        <w:spacing w:before="40" w:after="80"/>
      </w:pPr>
      <w:r>
        <w:rPr>
          <w:rFonts w:ascii="Calibri" w:hAnsi="Calibri"/>
          <w:b w:val="0"/>
          <w:i w:val="0"/>
          <w:color w:val="1A2A42"/>
          <w:sz w:val="20"/>
        </w:rPr>
        <w:t>EvidenceNode per anomaly: Isolation Forest score, z-score, p-value, timestamp range. Adaptive contamination (IQR-derived) ensures low false-positive rate.</w:t>
      </w:r>
    </w:p>
    <w:p>
      <w:pPr>
        <w:spacing w:before="240" w:after="60"/>
      </w:pPr>
      <w:r>
        <w:rPr>
          <w:rFonts w:ascii="Cambria" w:hAnsi="Cambria"/>
          <w:b/>
          <w:i w:val="0"/>
          <w:color w:val="3B8BEB"/>
          <w:sz w:val="24"/>
        </w:rPr>
        <w:t>UC-05 -- Forecasting  (Tier: COMPLEX)</w:t>
      </w:r>
    </w:p>
    <w:p>
      <w:pPr>
        <w:spacing w:before="160" w:after="40"/>
      </w:pPr>
      <w:r>
        <w:rPr>
          <w:rFonts w:ascii="Calibri" w:hAnsi="Calibri"/>
          <w:b/>
          <w:i w:val="0"/>
          <w:color w:val="1A2A42"/>
          <w:sz w:val="21"/>
        </w:rPr>
        <w:t>Scenario</w:t>
      </w:r>
    </w:p>
    <w:p>
      <w:pPr>
        <w:spacing w:before="40" w:after="80"/>
      </w:pPr>
      <w:r>
        <w:rPr>
          <w:rFonts w:ascii="Calibri" w:hAnsi="Calibri"/>
          <w:b w:val="0"/>
          <w:i w:val="0"/>
          <w:color w:val="1A2A42"/>
          <w:sz w:val="20"/>
        </w:rPr>
        <w:t>A finance analyst asks: 'Forecast subscription revenue for the next 3 months with confidence intervals.'</w:t>
      </w:r>
    </w:p>
    <w:p>
      <w:pPr>
        <w:spacing w:before="160" w:after="40"/>
      </w:pPr>
      <w:r>
        <w:rPr>
          <w:rFonts w:ascii="Calibri" w:hAnsi="Calibri"/>
          <w:b/>
          <w:i w:val="0"/>
          <w:color w:val="1A2A42"/>
          <w:sz w:val="21"/>
        </w:rPr>
        <w:t>Flow</w:t>
      </w:r>
    </w:p>
    <w:p>
      <w:pPr>
        <w:pStyle w:val="ListBullet"/>
        <w:spacing w:before="20" w:after="20"/>
        <w:ind w:left="360"/>
      </w:pPr>
      <w:r>
        <w:rPr>
          <w:rFonts w:ascii="Calibri" w:hAnsi="Calibri"/>
          <w:b w:val="0"/>
          <w:i w:val="0"/>
          <w:color w:val="1A2A42"/>
          <w:sz w:val="20"/>
        </w:rPr>
        <w:t>Complexity Router: COMPLEX (time-series forecast with model selection)</w:t>
      </w:r>
    </w:p>
    <w:p>
      <w:pPr>
        <w:pStyle w:val="ListBullet"/>
        <w:spacing w:before="20" w:after="20"/>
        <w:ind w:left="360"/>
      </w:pPr>
      <w:r>
        <w:rPr>
          <w:rFonts w:ascii="Calibri" w:hAnsi="Calibri"/>
          <w:b w:val="0"/>
          <w:i w:val="0"/>
          <w:color w:val="1A2A42"/>
          <w:sz w:val="20"/>
        </w:rPr>
        <w:t>ForecastTool runs model-selection cascade: STL decomposition detects weekly seasonality</w:t>
      </w:r>
    </w:p>
    <w:p>
      <w:pPr>
        <w:pStyle w:val="ListBullet"/>
        <w:spacing w:before="20" w:after="20"/>
        <w:ind w:left="360"/>
      </w:pPr>
      <w:r>
        <w:rPr>
          <w:rFonts w:ascii="Calibri" w:hAnsi="Calibri"/>
          <w:b w:val="0"/>
          <w:i w:val="0"/>
          <w:color w:val="1A2A42"/>
          <w:sz w:val="20"/>
        </w:rPr>
        <w:t>ETS selected over ARIMA (lower AIC); Prophet validates as secondary; ensemble average used</w:t>
      </w:r>
    </w:p>
    <w:p>
      <w:pPr>
        <w:pStyle w:val="ListBullet"/>
        <w:spacing w:before="20" w:after="20"/>
        <w:ind w:left="360"/>
      </w:pPr>
      <w:r>
        <w:rPr>
          <w:rFonts w:ascii="Calibri" w:hAnsi="Calibri"/>
          <w:b w:val="0"/>
          <w:i w:val="0"/>
          <w:color w:val="1A2A42"/>
          <w:sz w:val="20"/>
        </w:rPr>
        <w:t>Output: 90-day point forecast + 80%/95% prediction intervals</w:t>
      </w:r>
    </w:p>
    <w:p>
      <w:pPr>
        <w:pStyle w:val="ListBullet"/>
        <w:spacing w:before="20" w:after="20"/>
        <w:ind w:left="360"/>
      </w:pPr>
      <w:r>
        <w:rPr>
          <w:rFonts w:ascii="Calibri" w:hAnsi="Calibri"/>
          <w:b w:val="0"/>
          <w:i w:val="0"/>
          <w:color w:val="1A2A42"/>
          <w:sz w:val="20"/>
        </w:rPr>
        <w:t>VisualizationSelector: fan chart (line + shaded CI bands)</w:t>
      </w:r>
    </w:p>
    <w:p>
      <w:pPr>
        <w:spacing w:before="160" w:after="40"/>
      </w:pPr>
      <w:r>
        <w:rPr>
          <w:rFonts w:ascii="Calibri" w:hAnsi="Calibri"/>
          <w:b/>
          <w:i w:val="0"/>
          <w:color w:val="1A2A42"/>
          <w:sz w:val="21"/>
        </w:rPr>
        <w:t>Evidence</w:t>
      </w:r>
    </w:p>
    <w:p>
      <w:pPr>
        <w:spacing w:before="40" w:after="80"/>
      </w:pPr>
      <w:r>
        <w:rPr>
          <w:rFonts w:ascii="Calibri" w:hAnsi="Calibri"/>
          <w:b w:val="0"/>
          <w:i w:val="0"/>
          <w:color w:val="1A2A42"/>
          <w:sz w:val="20"/>
        </w:rPr>
        <w:t>EvidenceNode: historical data SQL, model selection rationale (AIC scores), backtest MAPE = 4.2%, forecast intervals. Reproducible with fixed random seed.</w:t>
      </w:r>
    </w:p>
    <w:p>
      <w:pPr>
        <w:spacing w:before="240" w:after="60"/>
      </w:pPr>
      <w:r>
        <w:rPr>
          <w:rFonts w:ascii="Cambria" w:hAnsi="Cambria"/>
          <w:b/>
          <w:i w:val="0"/>
          <w:color w:val="3B8BEB"/>
          <w:sz w:val="24"/>
        </w:rPr>
        <w:t>UC-06 -- Comparative Cohort Analysis  (Tier: COMPLEX)</w:t>
      </w:r>
    </w:p>
    <w:p>
      <w:pPr>
        <w:spacing w:before="160" w:after="40"/>
      </w:pPr>
      <w:r>
        <w:rPr>
          <w:rFonts w:ascii="Calibri" w:hAnsi="Calibri"/>
          <w:b/>
          <w:i w:val="0"/>
          <w:color w:val="1A2A42"/>
          <w:sz w:val="21"/>
        </w:rPr>
        <w:t>Scenario</w:t>
      </w:r>
    </w:p>
    <w:p>
      <w:pPr>
        <w:spacing w:before="40" w:after="80"/>
      </w:pPr>
      <w:r>
        <w:rPr>
          <w:rFonts w:ascii="Calibri" w:hAnsi="Calibri"/>
          <w:b w:val="0"/>
          <w:i w:val="0"/>
          <w:color w:val="1A2A42"/>
          <w:sz w:val="20"/>
        </w:rPr>
        <w:t>A product manager asks: 'Compare 30-day retention for users acquired in Q2 vs Q3.'</w:t>
      </w:r>
    </w:p>
    <w:p>
      <w:pPr>
        <w:spacing w:before="160" w:after="40"/>
      </w:pPr>
      <w:r>
        <w:rPr>
          <w:rFonts w:ascii="Calibri" w:hAnsi="Calibri"/>
          <w:b/>
          <w:i w:val="0"/>
          <w:color w:val="1A2A42"/>
          <w:sz w:val="21"/>
        </w:rPr>
        <w:t>Flow</w:t>
      </w:r>
    </w:p>
    <w:p>
      <w:pPr>
        <w:pStyle w:val="ListBullet"/>
        <w:spacing w:before="20" w:after="20"/>
        <w:ind w:left="360"/>
      </w:pPr>
      <w:r>
        <w:rPr>
          <w:rFonts w:ascii="Calibri" w:hAnsi="Calibri"/>
          <w:b w:val="0"/>
          <w:i w:val="0"/>
          <w:color w:val="1A2A42"/>
          <w:sz w:val="20"/>
        </w:rPr>
        <w:t>Complexity Router: COMPLEX (cohort definition + statistical comparison)</w:t>
      </w:r>
    </w:p>
    <w:p>
      <w:pPr>
        <w:pStyle w:val="ListBullet"/>
        <w:spacing w:before="20" w:after="20"/>
        <w:ind w:left="360"/>
      </w:pPr>
      <w:r>
        <w:rPr>
          <w:rFonts w:ascii="Calibri" w:hAnsi="Calibri"/>
          <w:b w:val="0"/>
          <w:i w:val="0"/>
          <w:color w:val="1A2A42"/>
          <w:sz w:val="20"/>
        </w:rPr>
        <w:t>AIR: analytical_type=COHORT; cohort_A=Q2_acquisitions, cohort_B=Q3_acquisitions, metric=30d_retention</w:t>
      </w:r>
    </w:p>
    <w:p>
      <w:pPr>
        <w:pStyle w:val="ListBullet"/>
        <w:spacing w:before="20" w:after="20"/>
        <w:ind w:left="360"/>
      </w:pPr>
      <w:r>
        <w:rPr>
          <w:rFonts w:ascii="Calibri" w:hAnsi="Calibri"/>
          <w:b w:val="0"/>
          <w:i w:val="0"/>
          <w:color w:val="1A2A42"/>
          <w:sz w:val="20"/>
        </w:rPr>
        <w:t>SQLTool generates cohort SQL with date-relative join; two result DataFrames produced</w:t>
      </w:r>
    </w:p>
    <w:p>
      <w:pPr>
        <w:pStyle w:val="ListBullet"/>
        <w:spacing w:before="20" w:after="20"/>
        <w:ind w:left="360"/>
      </w:pPr>
      <w:r>
        <w:rPr>
          <w:rFonts w:ascii="Calibri" w:hAnsi="Calibri"/>
          <w:b w:val="0"/>
          <w:i w:val="0"/>
          <w:color w:val="1A2A42"/>
          <w:sz w:val="20"/>
        </w:rPr>
        <w:t>StatisticsTool: two-sample t-test on retention rates; p=0.041, Cohen's d=0.38 (small-medium effect)</w:t>
      </w:r>
    </w:p>
    <w:p>
      <w:pPr>
        <w:pStyle w:val="ListBullet"/>
        <w:spacing w:before="20" w:after="20"/>
        <w:ind w:left="360"/>
      </w:pPr>
      <w:r>
        <w:rPr>
          <w:rFonts w:ascii="Calibri" w:hAnsi="Calibri"/>
          <w:b w:val="0"/>
          <w:i w:val="0"/>
          <w:color w:val="1A2A42"/>
          <w:sz w:val="20"/>
        </w:rPr>
        <w:t>InsightGenerator: 'Q3 cohort shows 4.2pp higher 30-day retention (p=0.041); effect size small-medium'</w:t>
      </w:r>
    </w:p>
    <w:p>
      <w:pPr>
        <w:spacing w:before="160" w:after="40"/>
      </w:pPr>
      <w:r>
        <w:rPr>
          <w:rFonts w:ascii="Calibri" w:hAnsi="Calibri"/>
          <w:b/>
          <w:i w:val="0"/>
          <w:color w:val="1A2A42"/>
          <w:sz w:val="21"/>
        </w:rPr>
        <w:t>Evidence</w:t>
      </w:r>
    </w:p>
    <w:p>
      <w:pPr>
        <w:spacing w:before="40" w:after="80"/>
      </w:pPr>
      <w:r>
        <w:rPr>
          <w:rFonts w:ascii="Calibri" w:hAnsi="Calibri"/>
          <w:b w:val="0"/>
          <w:i w:val="0"/>
          <w:color w:val="1A2A42"/>
          <w:sz w:val="20"/>
        </w:rPr>
        <w:t>EvidenceNode: SQL for each cohort, t-test (t=2.07, p=0.041), Cohen's d=0.38, 95% CI [0.1%, 8.3%]. Cardinality validator confirms no fan-out on date join.</w:t>
      </w:r>
    </w:p>
    <w:p>
      <w:pPr>
        <w:spacing w:before="120" w:after="120"/>
        <w:pBdr>
          <w:bottom w:val="single" w:sz="4" w:color="D0D8E8"/>
        </w:pBdr>
      </w:pPr>
    </w:p>
    <w:p>
      <w:pPr>
        <w:spacing w:before="360" w:after="80"/>
        <w:pBdr>
          <w:left w:val="single" w:sz="24" w:color="00C896" w:space="8"/>
        </w:pBdr>
        <w:ind w:left="216"/>
      </w:pPr>
      <w:r>
        <w:rPr>
          <w:rFonts w:ascii="Cambria" w:hAnsi="Cambria"/>
          <w:b/>
          <w:i w:val="0"/>
          <w:color w:val="0C1A2E"/>
          <w:sz w:val="30"/>
        </w:rPr>
        <w:t>7. Security Architecture</w:t>
      </w:r>
    </w:p>
    <w:p>
      <w:pPr>
        <w:spacing w:before="40" w:after="80"/>
      </w:pPr>
      <w:r>
        <w:rPr>
          <w:rFonts w:ascii="Calibri" w:hAnsi="Calibri"/>
          <w:b w:val="0"/>
          <w:i w:val="0"/>
          <w:color w:val="1A2A42"/>
          <w:sz w:val="20"/>
        </w:rPr>
        <w:t>Security is a first-class architectural concern in TachyonIQ, not a post-hoc addition. The following controls are enforced at every layer of the stack.</w:t>
      </w:r>
    </w:p>
    <w:p>
      <w:pPr>
        <w:spacing w:before="240" w:after="60"/>
      </w:pPr>
      <w:r>
        <w:rPr>
          <w:rFonts w:ascii="Cambria" w:hAnsi="Cambria"/>
          <w:b/>
          <w:i w:val="0"/>
          <w:color w:val="3B8BEB"/>
          <w:sz w:val="24"/>
        </w:rPr>
        <w:t>7.1 CRITICAL INVARIANT -- SQL Validator</w:t>
      </w:r>
    </w:p>
    <w:p>
      <w:pPr>
        <w:spacing w:before="80" w:after="120"/>
        <w:ind w:left="288"/>
        <w:pBdr>
          <w:left w:val="single" w:sz="18" w:color="F59E0B" w:space="8"/>
        </w:pBdr>
      </w:pPr>
      <w:r>
        <w:rPr>
          <w:rFonts w:ascii="Calibri" w:hAnsi="Calibri"/>
          <w:b/>
          <w:i w:val="0"/>
          <w:color w:val="B45A00"/>
          <w:sz w:val="20"/>
        </w:rPr>
        <w:t>INVARIANT S-01: SQLValidator.validate() MUST run INSIDE the SQL repair loop, before EVERY execution attempt. Security violations cause immediate halt with NO retry. This invariant must never be moved outside the loop and must survive every refactor. Violation of this invariant introduces a direct SQL injection vector.</w:t>
      </w:r>
    </w:p>
    <w:p>
      <w:pPr>
        <w:spacing w:before="240" w:after="60"/>
      </w:pPr>
      <w:r>
        <w:rPr>
          <w:rFonts w:ascii="Cambria" w:hAnsi="Cambria"/>
          <w:b/>
          <w:i w:val="0"/>
          <w:color w:val="3B8BEB"/>
          <w:sz w:val="24"/>
        </w:rPr>
        <w:t>7.2 AST-Based SQL Policy (9 Rules)</w:t>
      </w:r>
    </w:p>
    <w:p>
      <w:pPr>
        <w:spacing w:before="40" w:after="80"/>
      </w:pPr>
      <w:r>
        <w:rPr>
          <w:rFonts w:ascii="Calibri" w:hAnsi="Calibri"/>
          <w:b w:val="0"/>
          <w:i w:val="0"/>
          <w:color w:val="1A2A42"/>
          <w:sz w:val="20"/>
        </w:rPr>
        <w:t>The validator operates on the parsed SQL AST (via SQLGlot), not string matching, eliminating bypass via formatting or comment injection:</w:t>
      </w:r>
    </w:p>
    <w:p>
      <w:pPr>
        <w:pStyle w:val="ListBullet"/>
        <w:spacing w:before="20" w:after="20"/>
        <w:ind w:left="360"/>
      </w:pPr>
      <w:r>
        <w:rPr>
          <w:rFonts w:ascii="Calibri" w:hAnsi="Calibri"/>
          <w:b w:val="0"/>
          <w:i w:val="0"/>
          <w:color w:val="1A2A42"/>
          <w:sz w:val="20"/>
        </w:rPr>
        <w:t>R1 -- No SELECT * (column enumeration required)</w:t>
      </w:r>
    </w:p>
    <w:p>
      <w:pPr>
        <w:pStyle w:val="ListBullet"/>
        <w:spacing w:before="20" w:after="20"/>
        <w:ind w:left="360"/>
      </w:pPr>
      <w:r>
        <w:rPr>
          <w:rFonts w:ascii="Calibri" w:hAnsi="Calibri"/>
          <w:b w:val="0"/>
          <w:i w:val="0"/>
          <w:color w:val="1A2A42"/>
          <w:sz w:val="20"/>
        </w:rPr>
        <w:t>R2 -- LIMIT mandatory on all result sets (max 10,000 rows)</w:t>
      </w:r>
    </w:p>
    <w:p>
      <w:pPr>
        <w:pStyle w:val="ListBullet"/>
        <w:spacing w:before="20" w:after="20"/>
        <w:ind w:left="360"/>
      </w:pPr>
      <w:r>
        <w:rPr>
          <w:rFonts w:ascii="Calibri" w:hAnsi="Calibri"/>
          <w:b w:val="0"/>
          <w:i w:val="0"/>
          <w:color w:val="1A2A42"/>
          <w:sz w:val="20"/>
        </w:rPr>
        <w:t>R3 -- No DDL (CREATE / ALTER / DROP / TRUNCATE) -- blocked at parse time</w:t>
      </w:r>
    </w:p>
    <w:p>
      <w:pPr>
        <w:pStyle w:val="ListBullet"/>
        <w:spacing w:before="20" w:after="20"/>
        <w:ind w:left="360"/>
      </w:pPr>
      <w:r>
        <w:rPr>
          <w:rFonts w:ascii="Calibri" w:hAnsi="Calibri"/>
          <w:b w:val="0"/>
          <w:i w:val="0"/>
          <w:color w:val="1A2A42"/>
          <w:sz w:val="20"/>
        </w:rPr>
        <w:t>R4 -- No DML (INSERT / UPDATE / DELETE / MERGE)</w:t>
      </w:r>
    </w:p>
    <w:p>
      <w:pPr>
        <w:pStyle w:val="ListBullet"/>
        <w:spacing w:before="20" w:after="20"/>
        <w:ind w:left="360"/>
      </w:pPr>
      <w:r>
        <w:rPr>
          <w:rFonts w:ascii="Calibri" w:hAnsi="Calibri"/>
          <w:b w:val="0"/>
          <w:i w:val="0"/>
          <w:color w:val="1A2A42"/>
          <w:sz w:val="20"/>
        </w:rPr>
        <w:t>R5 -- Max 5 JOINs per query (prevents runaway join chains)</w:t>
      </w:r>
    </w:p>
    <w:p>
      <w:pPr>
        <w:pStyle w:val="ListBullet"/>
        <w:spacing w:before="20" w:after="20"/>
        <w:ind w:left="360"/>
      </w:pPr>
      <w:r>
        <w:rPr>
          <w:rFonts w:ascii="Calibri" w:hAnsi="Calibri"/>
          <w:b w:val="0"/>
          <w:i w:val="0"/>
          <w:color w:val="1A2A42"/>
          <w:sz w:val="20"/>
        </w:rPr>
        <w:t>R6 -- Max subquery depth: 3</w:t>
      </w:r>
    </w:p>
    <w:p>
      <w:pPr>
        <w:pStyle w:val="ListBullet"/>
        <w:spacing w:before="20" w:after="20"/>
        <w:ind w:left="360"/>
      </w:pPr>
      <w:r>
        <w:rPr>
          <w:rFonts w:ascii="Calibri" w:hAnsi="Calibri"/>
          <w:b w:val="0"/>
          <w:i w:val="0"/>
          <w:color w:val="1A2A42"/>
          <w:sz w:val="20"/>
        </w:rPr>
        <w:t>R7 -- No EXEC / EXECUTE / CALL (stored procedure blocking)</w:t>
      </w:r>
    </w:p>
    <w:p>
      <w:pPr>
        <w:pStyle w:val="ListBullet"/>
        <w:spacing w:before="20" w:after="20"/>
        <w:ind w:left="360"/>
      </w:pPr>
      <w:r>
        <w:rPr>
          <w:rFonts w:ascii="Calibri" w:hAnsi="Calibri"/>
          <w:b w:val="0"/>
          <w:i w:val="0"/>
          <w:color w:val="1A2A42"/>
          <w:sz w:val="20"/>
        </w:rPr>
        <w:t>R8 -- RLS filter injection -- WHERE clause appended for each row-level policy applicable to the user role</w:t>
      </w:r>
    </w:p>
    <w:p>
      <w:pPr>
        <w:pStyle w:val="ListBullet"/>
        <w:spacing w:before="20" w:after="20"/>
        <w:ind w:left="360"/>
      </w:pPr>
      <w:r>
        <w:rPr>
          <w:rFonts w:ascii="Calibri" w:hAnsi="Calibri"/>
          <w:b w:val="0"/>
          <w:i w:val="0"/>
          <w:color w:val="1A2A42"/>
          <w:sz w:val="20"/>
        </w:rPr>
        <w:t>R9 -- CLS enforcement -- columns not permitted for the role raise a security violation before execution</w:t>
      </w:r>
    </w:p>
    <w:p>
      <w:pPr>
        <w:spacing w:before="240" w:after="60"/>
      </w:pPr>
      <w:r>
        <w:rPr>
          <w:rFonts w:ascii="Cambria" w:hAnsi="Cambria"/>
          <w:b/>
          <w:i w:val="0"/>
          <w:color w:val="3B8BEB"/>
          <w:sz w:val="24"/>
        </w:rPr>
        <w:t>7.3 Additional Security Controls</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0C1A2E"/>
            <w:vAlign w:val="center"/>
          </w:tcPr>
          <w:p>
            <w:pPr>
              <w:spacing w:before="60" w:after="60"/>
            </w:pPr>
            <w:r>
              <w:rPr>
                <w:rFonts w:ascii="Calibri" w:hAnsi="Calibri"/>
                <w:b/>
                <w:i w:val="0"/>
                <w:color w:val="FFFFFF"/>
                <w:sz w:val="19"/>
              </w:rPr>
              <w:t>Control</w:t>
            </w:r>
          </w:p>
        </w:tc>
        <w:tc>
          <w:tcPr>
            <w:tcW w:type="dxa" w:w="7056"/>
            <w:shd w:val="clear" w:color="auto" w:fill="0C1A2E"/>
            <w:vAlign w:val="center"/>
          </w:tcPr>
          <w:p>
            <w:pPr>
              <w:spacing w:before="60" w:after="60"/>
            </w:pPr>
            <w:r>
              <w:rPr>
                <w:rFonts w:ascii="Calibri" w:hAnsi="Calibri"/>
                <w:b/>
                <w:i w:val="0"/>
                <w:color w:val="FFFFFF"/>
                <w:sz w:val="19"/>
              </w:rPr>
              <w:t>Implementation</w:t>
            </w:r>
          </w:p>
        </w:tc>
      </w:tr>
      <w:tr>
        <w:tc>
          <w:tcPr>
            <w:tcW w:type="dxa" w:w="4536"/>
            <w:shd w:val="clear" w:color="auto" w:fill="F0F4FA"/>
            <w:vAlign w:val="center"/>
          </w:tcPr>
          <w:p>
            <w:pPr>
              <w:spacing w:before="40" w:after="40"/>
            </w:pPr>
            <w:r>
              <w:rPr>
                <w:rFonts w:ascii="Calibri" w:hAnsi="Calibri"/>
                <w:b w:val="0"/>
                <w:i w:val="0"/>
                <w:color w:val="1A2A42"/>
                <w:sz w:val="19"/>
              </w:rPr>
              <w:t>Credential Isolation</w:t>
            </w:r>
          </w:p>
        </w:tc>
        <w:tc>
          <w:tcPr>
            <w:tcW w:type="dxa" w:w="4536"/>
            <w:shd w:val="clear" w:color="auto" w:fill="F0F4FA"/>
            <w:vAlign w:val="center"/>
          </w:tcPr>
          <w:p>
            <w:pPr>
              <w:spacing w:before="40" w:after="40"/>
            </w:pPr>
            <w:r>
              <w:rPr>
                <w:rFonts w:ascii="Calibri" w:hAnsi="Calibri"/>
                <w:b w:val="0"/>
                <w:i w:val="0"/>
                <w:color w:val="1A2A42"/>
                <w:sz w:val="19"/>
              </w:rPr>
              <w:t>DB credentials stored as env vars; never passed to LLM in prompts, logs, or responses</w:t>
            </w:r>
          </w:p>
        </w:tc>
      </w:tr>
      <w:tr>
        <w:tc>
          <w:tcPr>
            <w:tcW w:type="dxa" w:w="4536"/>
            <w:shd w:val="clear" w:color="auto" w:fill="FFFFFF"/>
            <w:vAlign w:val="center"/>
          </w:tcPr>
          <w:p>
            <w:pPr>
              <w:spacing w:before="40" w:after="40"/>
            </w:pPr>
            <w:r>
              <w:rPr>
                <w:rFonts w:ascii="Calibri" w:hAnsi="Calibri"/>
                <w:b w:val="0"/>
                <w:i w:val="0"/>
                <w:color w:val="1A2A42"/>
                <w:sz w:val="19"/>
              </w:rPr>
              <w:t>RBAC</w:t>
            </w:r>
          </w:p>
        </w:tc>
        <w:tc>
          <w:tcPr>
            <w:tcW w:type="dxa" w:w="4536"/>
            <w:shd w:val="clear" w:color="auto" w:fill="FFFFFF"/>
            <w:vAlign w:val="center"/>
          </w:tcPr>
          <w:p>
            <w:pPr>
              <w:spacing w:before="40" w:after="40"/>
            </w:pPr>
            <w:r>
              <w:rPr>
                <w:rFonts w:ascii="Calibri" w:hAnsi="Calibri"/>
                <w:b w:val="0"/>
                <w:i w:val="0"/>
                <w:color w:val="1A2A42"/>
                <w:sz w:val="19"/>
              </w:rPr>
              <w:t>Role checked on every API endpoint; schema access scoped per role</w:t>
            </w:r>
          </w:p>
        </w:tc>
      </w:tr>
      <w:tr>
        <w:tc>
          <w:tcPr>
            <w:tcW w:type="dxa" w:w="4536"/>
            <w:shd w:val="clear" w:color="auto" w:fill="F0F4FA"/>
            <w:vAlign w:val="center"/>
          </w:tcPr>
          <w:p>
            <w:pPr>
              <w:spacing w:before="40" w:after="40"/>
            </w:pPr>
            <w:r>
              <w:rPr>
                <w:rFonts w:ascii="Calibri" w:hAnsi="Calibri"/>
                <w:b w:val="0"/>
                <w:i w:val="0"/>
                <w:color w:val="1A2A42"/>
                <w:sz w:val="19"/>
              </w:rPr>
              <w:t>RLS / CLS</w:t>
            </w:r>
          </w:p>
        </w:tc>
        <w:tc>
          <w:tcPr>
            <w:tcW w:type="dxa" w:w="4536"/>
            <w:shd w:val="clear" w:color="auto" w:fill="F0F4FA"/>
            <w:vAlign w:val="center"/>
          </w:tcPr>
          <w:p>
            <w:pPr>
              <w:spacing w:before="40" w:after="40"/>
            </w:pPr>
            <w:r>
              <w:rPr>
                <w:rFonts w:ascii="Calibri" w:hAnsi="Calibri"/>
                <w:b w:val="0"/>
                <w:i w:val="0"/>
                <w:color w:val="1A2A42"/>
                <w:sz w:val="19"/>
              </w:rPr>
              <w:t>Row- and column-level policies from SemanticEngine V2 injected before every SQL execution</w:t>
            </w:r>
          </w:p>
        </w:tc>
      </w:tr>
      <w:tr>
        <w:tc>
          <w:tcPr>
            <w:tcW w:type="dxa" w:w="4536"/>
            <w:shd w:val="clear" w:color="auto" w:fill="FFFFFF"/>
            <w:vAlign w:val="center"/>
          </w:tcPr>
          <w:p>
            <w:pPr>
              <w:spacing w:before="40" w:after="40"/>
            </w:pPr>
            <w:r>
              <w:rPr>
                <w:rFonts w:ascii="Calibri" w:hAnsi="Calibri"/>
                <w:b w:val="0"/>
                <w:i w:val="0"/>
                <w:color w:val="1A2A42"/>
                <w:sz w:val="19"/>
              </w:rPr>
              <w:t>Audit Logging</w:t>
            </w:r>
          </w:p>
        </w:tc>
        <w:tc>
          <w:tcPr>
            <w:tcW w:type="dxa" w:w="4536"/>
            <w:shd w:val="clear" w:color="auto" w:fill="FFFFFF"/>
            <w:vAlign w:val="center"/>
          </w:tcPr>
          <w:p>
            <w:pPr>
              <w:spacing w:before="40" w:after="40"/>
            </w:pPr>
            <w:r>
              <w:rPr>
                <w:rFonts w:ascii="Calibri" w:hAnsi="Calibri"/>
                <w:b w:val="0"/>
                <w:i w:val="0"/>
                <w:color w:val="1A2A42"/>
                <w:sz w:val="19"/>
              </w:rPr>
              <w:t>Every SQL query, session ID, user ID, and result row count logged via OpenTelemetry</w:t>
            </w:r>
          </w:p>
        </w:tc>
      </w:tr>
      <w:tr>
        <w:tc>
          <w:tcPr>
            <w:tcW w:type="dxa" w:w="4536"/>
            <w:shd w:val="clear" w:color="auto" w:fill="F0F4FA"/>
            <w:vAlign w:val="center"/>
          </w:tcPr>
          <w:p>
            <w:pPr>
              <w:spacing w:before="40" w:after="40"/>
            </w:pPr>
            <w:r>
              <w:rPr>
                <w:rFonts w:ascii="Calibri" w:hAnsi="Calibri"/>
                <w:b w:val="0"/>
                <w:i w:val="0"/>
                <w:color w:val="1A2A42"/>
                <w:sz w:val="19"/>
              </w:rPr>
              <w:t>No Direct LLM SQL</w:t>
            </w:r>
          </w:p>
        </w:tc>
        <w:tc>
          <w:tcPr>
            <w:tcW w:type="dxa" w:w="4536"/>
            <w:shd w:val="clear" w:color="auto" w:fill="F0F4FA"/>
            <w:vAlign w:val="center"/>
          </w:tcPr>
          <w:p>
            <w:pPr>
              <w:spacing w:before="40" w:after="40"/>
            </w:pPr>
            <w:r>
              <w:rPr>
                <w:rFonts w:ascii="Calibri" w:hAnsi="Calibri"/>
                <w:b w:val="0"/>
                <w:i w:val="0"/>
                <w:color w:val="1A2A42"/>
                <w:sz w:val="19"/>
              </w:rPr>
              <w:t>LLM generates SQL text; deterministic QueryPlanner and SQLValidator control structure and execution</w:t>
            </w:r>
          </w:p>
        </w:tc>
      </w:tr>
      <w:tr>
        <w:tc>
          <w:tcPr>
            <w:tcW w:type="dxa" w:w="4536"/>
            <w:shd w:val="clear" w:color="auto" w:fill="FFFFFF"/>
            <w:vAlign w:val="center"/>
          </w:tcPr>
          <w:p>
            <w:pPr>
              <w:spacing w:before="40" w:after="40"/>
            </w:pPr>
            <w:r>
              <w:rPr>
                <w:rFonts w:ascii="Calibri" w:hAnsi="Calibri"/>
                <w:b w:val="0"/>
                <w:i w:val="0"/>
                <w:color w:val="1A2A42"/>
                <w:sz w:val="19"/>
              </w:rPr>
              <w:t>Timeout Enforcement</w:t>
            </w:r>
          </w:p>
        </w:tc>
        <w:tc>
          <w:tcPr>
            <w:tcW w:type="dxa" w:w="4536"/>
            <w:shd w:val="clear" w:color="auto" w:fill="FFFFFF"/>
            <w:vAlign w:val="center"/>
          </w:tcPr>
          <w:p>
            <w:pPr>
              <w:spacing w:before="40" w:after="40"/>
            </w:pPr>
            <w:r>
              <w:rPr>
                <w:rFonts w:ascii="Calibri" w:hAnsi="Calibri"/>
                <w:b w:val="0"/>
                <w:i w:val="0"/>
                <w:color w:val="1A2A42"/>
                <w:sz w:val="19"/>
              </w:rPr>
              <w:t>Dual timeout: asyncio application-level + DB-level statement_timeout (prevents runaway queries)</w:t>
            </w:r>
          </w:p>
        </w:tc>
      </w:tr>
    </w:tbl>
    <w:p/>
    <w:p>
      <w:pPr>
        <w:spacing w:before="40" w:after="40"/>
      </w:pPr>
      <w:r>
        <w:rPr>
          <w:rFonts w:ascii="Calibri" w:hAnsi="Calibri"/>
          <w:b w:val="0"/>
          <w:i w:val="0"/>
          <w:color w:val="1A2A42"/>
          <w:sz w:val="20"/>
        </w:rPr>
        <w:t>This document reflects the proposed V2 architecture. Implementation status per component is tracked in TachyonIQ_ARCHITECTURE_V2.md. No codebase modifications shall be made prior to engineering review and approval of this document.</w:t>
      </w:r>
    </w:p>
    <w:p>
      <w:r>
        <w:rPr>
          <w:rFonts w:ascii="Calibri" w:hAnsi="Calibri"/>
          <w:b w:val="0"/>
          <w:i/>
          <w:color w:val="445A7A"/>
          <w:sz w:val="18"/>
        </w:rPr>
        <w:t>Document version 1.0  ·  September 2026  ·  Tachyontech  ·  CONFIDENTIAL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