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B3BC7" w14:textId="77777777" w:rsidR="00A64C20" w:rsidRPr="00115021" w:rsidRDefault="00115021">
      <w:pPr>
        <w:pStyle w:val="Title"/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Business Summary Report: Predictive Insights for Collections Strategy</w:t>
      </w:r>
    </w:p>
    <w:p w14:paraId="16110F4C" w14:textId="77777777" w:rsidR="00A64C20" w:rsidRPr="00115021" w:rsidRDefault="00115021">
      <w:pPr>
        <w:pStyle w:val="Heading1"/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1. Summary of Predictive Insights</w:t>
      </w:r>
    </w:p>
    <w:p w14:paraId="27848D75" w14:textId="77777777" w:rsidR="00A64C20" w:rsidRPr="00115021" w:rsidRDefault="00115021">
      <w:p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Our predictive model identified several customer segments at elevated risk of credit card delinquency. Key risk indicators include high credit utilization, missed payments, and elevated debt-to-income ratios. These insights can help prioritize which customers may benefit most from early outreach or financial support strategies.</w:t>
      </w:r>
    </w:p>
    <w:p w14:paraId="233399D9" w14:textId="77777777" w:rsidR="00A64C20" w:rsidRPr="00115021" w:rsidRDefault="00115021">
      <w:pPr>
        <w:rPr>
          <w:rFonts w:ascii="Arial" w:hAnsi="Arial" w:cs="Arial"/>
          <w:b/>
          <w:bCs/>
          <w:color w:val="000000" w:themeColor="text1"/>
        </w:rPr>
      </w:pPr>
      <w:r w:rsidRPr="00115021">
        <w:rPr>
          <w:rFonts w:ascii="Arial" w:hAnsi="Arial" w:cs="Arial"/>
          <w:b/>
          <w:bCs/>
          <w:color w:val="000000" w:themeColor="text1"/>
        </w:rPr>
        <w:t>Key Insights Summary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115021" w:rsidRPr="00115021" w14:paraId="200A2B59" w14:textId="77777777">
        <w:tc>
          <w:tcPr>
            <w:tcW w:w="2160" w:type="dxa"/>
          </w:tcPr>
          <w:p w14:paraId="0DA1D33B" w14:textId="77777777" w:rsidR="00A64C20" w:rsidRPr="00115021" w:rsidRDefault="00115021">
            <w:pPr>
              <w:rPr>
                <w:rFonts w:ascii="Arial" w:hAnsi="Arial" w:cs="Arial"/>
                <w:color w:val="000000" w:themeColor="text1"/>
              </w:rPr>
            </w:pPr>
            <w:r w:rsidRPr="00115021">
              <w:rPr>
                <w:rFonts w:ascii="Arial" w:hAnsi="Arial" w:cs="Arial"/>
                <w:color w:val="000000" w:themeColor="text1"/>
              </w:rPr>
              <w:t>Key Insight</w:t>
            </w:r>
          </w:p>
        </w:tc>
        <w:tc>
          <w:tcPr>
            <w:tcW w:w="2160" w:type="dxa"/>
          </w:tcPr>
          <w:p w14:paraId="14313728" w14:textId="77777777" w:rsidR="00A64C20" w:rsidRPr="00115021" w:rsidRDefault="00115021">
            <w:pPr>
              <w:rPr>
                <w:rFonts w:ascii="Arial" w:hAnsi="Arial" w:cs="Arial"/>
                <w:color w:val="000000" w:themeColor="text1"/>
              </w:rPr>
            </w:pPr>
            <w:r w:rsidRPr="00115021">
              <w:rPr>
                <w:rFonts w:ascii="Arial" w:hAnsi="Arial" w:cs="Arial"/>
                <w:color w:val="000000" w:themeColor="text1"/>
              </w:rPr>
              <w:t>Customer Segment</w:t>
            </w:r>
          </w:p>
        </w:tc>
        <w:tc>
          <w:tcPr>
            <w:tcW w:w="2160" w:type="dxa"/>
          </w:tcPr>
          <w:p w14:paraId="3F1DC044" w14:textId="77777777" w:rsidR="00A64C20" w:rsidRPr="00115021" w:rsidRDefault="00115021">
            <w:pPr>
              <w:rPr>
                <w:rFonts w:ascii="Arial" w:hAnsi="Arial" w:cs="Arial"/>
                <w:color w:val="000000" w:themeColor="text1"/>
              </w:rPr>
            </w:pPr>
            <w:r w:rsidRPr="00115021">
              <w:rPr>
                <w:rFonts w:ascii="Arial" w:hAnsi="Arial" w:cs="Arial"/>
                <w:color w:val="000000" w:themeColor="text1"/>
              </w:rPr>
              <w:t>Influencing Variables</w:t>
            </w:r>
          </w:p>
        </w:tc>
        <w:tc>
          <w:tcPr>
            <w:tcW w:w="2160" w:type="dxa"/>
          </w:tcPr>
          <w:p w14:paraId="7365B629" w14:textId="77777777" w:rsidR="00A64C20" w:rsidRPr="00115021" w:rsidRDefault="00115021">
            <w:pPr>
              <w:rPr>
                <w:rFonts w:ascii="Arial" w:hAnsi="Arial" w:cs="Arial"/>
                <w:color w:val="000000" w:themeColor="text1"/>
              </w:rPr>
            </w:pPr>
            <w:r w:rsidRPr="00115021">
              <w:rPr>
                <w:rFonts w:ascii="Arial" w:hAnsi="Arial" w:cs="Arial"/>
                <w:color w:val="000000" w:themeColor="text1"/>
              </w:rPr>
              <w:t>Potential Impact</w:t>
            </w:r>
          </w:p>
        </w:tc>
      </w:tr>
      <w:tr w:rsidR="00115021" w:rsidRPr="00115021" w14:paraId="5D7F95CE" w14:textId="77777777">
        <w:tc>
          <w:tcPr>
            <w:tcW w:w="2160" w:type="dxa"/>
          </w:tcPr>
          <w:p w14:paraId="412DB0C0" w14:textId="77777777" w:rsidR="00A64C20" w:rsidRPr="00115021" w:rsidRDefault="00115021">
            <w:pPr>
              <w:rPr>
                <w:rFonts w:ascii="Arial" w:hAnsi="Arial" w:cs="Arial"/>
                <w:color w:val="000000" w:themeColor="text1"/>
              </w:rPr>
            </w:pPr>
            <w:r w:rsidRPr="00115021">
              <w:rPr>
                <w:rFonts w:ascii="Arial" w:hAnsi="Arial" w:cs="Arial"/>
                <w:color w:val="000000" w:themeColor="text1"/>
              </w:rPr>
              <w:t>High credit utilization correlates with increased delinquency risk.</w:t>
            </w:r>
          </w:p>
        </w:tc>
        <w:tc>
          <w:tcPr>
            <w:tcW w:w="2160" w:type="dxa"/>
          </w:tcPr>
          <w:p w14:paraId="10E2912A" w14:textId="77777777" w:rsidR="00A64C20" w:rsidRPr="00115021" w:rsidRDefault="00115021">
            <w:pPr>
              <w:rPr>
                <w:rFonts w:ascii="Arial" w:hAnsi="Arial" w:cs="Arial"/>
                <w:color w:val="000000" w:themeColor="text1"/>
              </w:rPr>
            </w:pPr>
            <w:r w:rsidRPr="00115021">
              <w:rPr>
                <w:rFonts w:ascii="Arial" w:hAnsi="Arial" w:cs="Arial"/>
                <w:color w:val="000000" w:themeColor="text1"/>
              </w:rPr>
              <w:t>Customers with &gt;50% utilization</w:t>
            </w:r>
          </w:p>
        </w:tc>
        <w:tc>
          <w:tcPr>
            <w:tcW w:w="2160" w:type="dxa"/>
          </w:tcPr>
          <w:p w14:paraId="5EE7C2CF" w14:textId="77777777" w:rsidR="00A64C20" w:rsidRPr="00115021" w:rsidRDefault="00115021">
            <w:pPr>
              <w:rPr>
                <w:rFonts w:ascii="Arial" w:hAnsi="Arial" w:cs="Arial"/>
                <w:color w:val="000000" w:themeColor="text1"/>
              </w:rPr>
            </w:pPr>
            <w:r w:rsidRPr="00115021">
              <w:rPr>
                <w:rFonts w:ascii="Arial" w:hAnsi="Arial" w:cs="Arial"/>
                <w:color w:val="000000" w:themeColor="text1"/>
              </w:rPr>
              <w:t>Credit Utilization, Missed Payments</w:t>
            </w:r>
          </w:p>
        </w:tc>
        <w:tc>
          <w:tcPr>
            <w:tcW w:w="2160" w:type="dxa"/>
          </w:tcPr>
          <w:p w14:paraId="7C297522" w14:textId="77777777" w:rsidR="00A64C20" w:rsidRPr="00115021" w:rsidRDefault="00115021">
            <w:pPr>
              <w:rPr>
                <w:rFonts w:ascii="Arial" w:hAnsi="Arial" w:cs="Arial"/>
                <w:color w:val="000000" w:themeColor="text1"/>
              </w:rPr>
            </w:pPr>
            <w:r w:rsidRPr="00115021">
              <w:rPr>
                <w:rFonts w:ascii="Arial" w:hAnsi="Arial" w:cs="Arial"/>
                <w:color w:val="000000" w:themeColor="text1"/>
              </w:rPr>
              <w:t>Consider lowering credit limits or offering usage monitoring tools.</w:t>
            </w:r>
          </w:p>
        </w:tc>
      </w:tr>
      <w:tr w:rsidR="00115021" w:rsidRPr="00115021" w14:paraId="73DFA3CF" w14:textId="77777777">
        <w:tc>
          <w:tcPr>
            <w:tcW w:w="2160" w:type="dxa"/>
          </w:tcPr>
          <w:p w14:paraId="02A2F4CE" w14:textId="77777777" w:rsidR="00A64C20" w:rsidRPr="00115021" w:rsidRDefault="00115021">
            <w:pPr>
              <w:rPr>
                <w:rFonts w:ascii="Arial" w:hAnsi="Arial" w:cs="Arial"/>
                <w:color w:val="000000" w:themeColor="text1"/>
              </w:rPr>
            </w:pPr>
            <w:r w:rsidRPr="00115021">
              <w:rPr>
                <w:rFonts w:ascii="Arial" w:hAnsi="Arial" w:cs="Arial"/>
                <w:color w:val="000000" w:themeColor="text1"/>
              </w:rPr>
              <w:t>Young customers with missed payments are high risk.</w:t>
            </w:r>
          </w:p>
        </w:tc>
        <w:tc>
          <w:tcPr>
            <w:tcW w:w="2160" w:type="dxa"/>
          </w:tcPr>
          <w:p w14:paraId="409624B4" w14:textId="77777777" w:rsidR="00A64C20" w:rsidRPr="00115021" w:rsidRDefault="00115021">
            <w:pPr>
              <w:rPr>
                <w:rFonts w:ascii="Arial" w:hAnsi="Arial" w:cs="Arial"/>
                <w:color w:val="000000" w:themeColor="text1"/>
              </w:rPr>
            </w:pPr>
            <w:r w:rsidRPr="00115021">
              <w:rPr>
                <w:rFonts w:ascii="Arial" w:hAnsi="Arial" w:cs="Arial"/>
                <w:color w:val="000000" w:themeColor="text1"/>
              </w:rPr>
              <w:t>Under 30, 2+ missed payments</w:t>
            </w:r>
          </w:p>
        </w:tc>
        <w:tc>
          <w:tcPr>
            <w:tcW w:w="2160" w:type="dxa"/>
          </w:tcPr>
          <w:p w14:paraId="5B0AEB20" w14:textId="77777777" w:rsidR="00A64C20" w:rsidRPr="00115021" w:rsidRDefault="00115021">
            <w:pPr>
              <w:rPr>
                <w:rFonts w:ascii="Arial" w:hAnsi="Arial" w:cs="Arial"/>
                <w:color w:val="000000" w:themeColor="text1"/>
              </w:rPr>
            </w:pPr>
            <w:r w:rsidRPr="00115021">
              <w:rPr>
                <w:rFonts w:ascii="Arial" w:hAnsi="Arial" w:cs="Arial"/>
                <w:color w:val="000000" w:themeColor="text1"/>
              </w:rPr>
              <w:t>Age, Payment History</w:t>
            </w:r>
          </w:p>
        </w:tc>
        <w:tc>
          <w:tcPr>
            <w:tcW w:w="2160" w:type="dxa"/>
          </w:tcPr>
          <w:p w14:paraId="4CEB2462" w14:textId="77777777" w:rsidR="00A64C20" w:rsidRPr="00115021" w:rsidRDefault="00115021">
            <w:pPr>
              <w:rPr>
                <w:rFonts w:ascii="Arial" w:hAnsi="Arial" w:cs="Arial"/>
                <w:color w:val="000000" w:themeColor="text1"/>
              </w:rPr>
            </w:pPr>
            <w:r w:rsidRPr="00115021">
              <w:rPr>
                <w:rFonts w:ascii="Arial" w:hAnsi="Arial" w:cs="Arial"/>
                <w:color w:val="000000" w:themeColor="text1"/>
              </w:rPr>
              <w:t>Proactive outreach with tailored financial education or hardship support.</w:t>
            </w:r>
          </w:p>
        </w:tc>
      </w:tr>
      <w:tr w:rsidR="00115021" w:rsidRPr="00115021" w14:paraId="1C0E39F2" w14:textId="77777777">
        <w:tc>
          <w:tcPr>
            <w:tcW w:w="2160" w:type="dxa"/>
          </w:tcPr>
          <w:p w14:paraId="659C1EBA" w14:textId="77777777" w:rsidR="00A64C20" w:rsidRPr="00115021" w:rsidRDefault="00115021">
            <w:pPr>
              <w:rPr>
                <w:rFonts w:ascii="Arial" w:hAnsi="Arial" w:cs="Arial"/>
                <w:color w:val="000000" w:themeColor="text1"/>
              </w:rPr>
            </w:pPr>
            <w:r w:rsidRPr="00115021">
              <w:rPr>
                <w:rFonts w:ascii="Arial" w:hAnsi="Arial" w:cs="Arial"/>
                <w:color w:val="000000" w:themeColor="text1"/>
              </w:rPr>
              <w:t>High DTI is associated with higher default rates.</w:t>
            </w:r>
          </w:p>
        </w:tc>
        <w:tc>
          <w:tcPr>
            <w:tcW w:w="2160" w:type="dxa"/>
          </w:tcPr>
          <w:p w14:paraId="3153C061" w14:textId="77777777" w:rsidR="00A64C20" w:rsidRPr="00115021" w:rsidRDefault="00115021">
            <w:pPr>
              <w:rPr>
                <w:rFonts w:ascii="Arial" w:hAnsi="Arial" w:cs="Arial"/>
                <w:color w:val="000000" w:themeColor="text1"/>
              </w:rPr>
            </w:pPr>
            <w:r w:rsidRPr="00115021">
              <w:rPr>
                <w:rFonts w:ascii="Arial" w:hAnsi="Arial" w:cs="Arial"/>
                <w:color w:val="000000" w:themeColor="text1"/>
              </w:rPr>
              <w:t>DTI &gt; 0.5</w:t>
            </w:r>
          </w:p>
        </w:tc>
        <w:tc>
          <w:tcPr>
            <w:tcW w:w="2160" w:type="dxa"/>
          </w:tcPr>
          <w:p w14:paraId="750817E9" w14:textId="77777777" w:rsidR="00A64C20" w:rsidRPr="00115021" w:rsidRDefault="00115021">
            <w:pPr>
              <w:rPr>
                <w:rFonts w:ascii="Arial" w:hAnsi="Arial" w:cs="Arial"/>
                <w:color w:val="000000" w:themeColor="text1"/>
              </w:rPr>
            </w:pPr>
            <w:r w:rsidRPr="00115021">
              <w:rPr>
                <w:rFonts w:ascii="Arial" w:hAnsi="Arial" w:cs="Arial"/>
                <w:color w:val="000000" w:themeColor="text1"/>
              </w:rPr>
              <w:t>Debt-to-Income Ratio</w:t>
            </w:r>
          </w:p>
        </w:tc>
        <w:tc>
          <w:tcPr>
            <w:tcW w:w="2160" w:type="dxa"/>
          </w:tcPr>
          <w:p w14:paraId="528A3B35" w14:textId="77777777" w:rsidR="00A64C20" w:rsidRPr="00115021" w:rsidRDefault="00115021">
            <w:pPr>
              <w:rPr>
                <w:rFonts w:ascii="Arial" w:hAnsi="Arial" w:cs="Arial"/>
                <w:color w:val="000000" w:themeColor="text1"/>
              </w:rPr>
            </w:pPr>
            <w:r w:rsidRPr="00115021">
              <w:rPr>
                <w:rFonts w:ascii="Arial" w:hAnsi="Arial" w:cs="Arial"/>
                <w:color w:val="000000" w:themeColor="text1"/>
              </w:rPr>
              <w:t>Debt restructuring support or repayment plan options.</w:t>
            </w:r>
          </w:p>
        </w:tc>
      </w:tr>
    </w:tbl>
    <w:p w14:paraId="68D1BCA6" w14:textId="77777777" w:rsidR="00A64C20" w:rsidRPr="00115021" w:rsidRDefault="00115021">
      <w:pPr>
        <w:pStyle w:val="Heading1"/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2. Recommendation Framework</w:t>
      </w:r>
    </w:p>
    <w:p w14:paraId="513F0DEF" w14:textId="77777777" w:rsidR="00A64C20" w:rsidRPr="00115021" w:rsidRDefault="00115021">
      <w:p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Restated Insight:</w:t>
      </w:r>
    </w:p>
    <w:p w14:paraId="7B067DA9" w14:textId="77777777" w:rsidR="00A64C20" w:rsidRPr="00115021" w:rsidRDefault="00115021">
      <w:p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Customers under 30 with two or more missed payments have a significantly higher likelihood of delinquency.</w:t>
      </w:r>
    </w:p>
    <w:p w14:paraId="430FB58E" w14:textId="77777777" w:rsidR="00A64C20" w:rsidRPr="00115021" w:rsidRDefault="00115021">
      <w:p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Proposed Recommendation:</w:t>
      </w:r>
    </w:p>
    <w:p w14:paraId="4CB4D77C" w14:textId="77777777" w:rsidR="00A64C20" w:rsidRPr="00115021" w:rsidRDefault="00115021">
      <w:p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Launch a 6-week pilot outreach campaign targeting this segment with proactive SMS and email messaging. The goal is to offer tailored payment plans or financial counselling support before accounts reach 30+ days delinquent.</w:t>
      </w:r>
    </w:p>
    <w:p w14:paraId="50BB9426" w14:textId="77777777" w:rsidR="00A64C20" w:rsidRPr="00115021" w:rsidRDefault="00115021">
      <w:p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Justification and Business Rationale:</w:t>
      </w:r>
    </w:p>
    <w:p w14:paraId="72218F40" w14:textId="77777777" w:rsidR="00115021" w:rsidRDefault="00115021" w:rsidP="0011502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lastRenderedPageBreak/>
        <w:t>Specific: Focused on a clearly defined, high-risk group.</w:t>
      </w:r>
    </w:p>
    <w:p w14:paraId="58256F99" w14:textId="77777777" w:rsidR="00115021" w:rsidRDefault="00115021" w:rsidP="0011502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Measurable: Target a 10–15% reduction in delinquency within the pilot group.</w:t>
      </w:r>
    </w:p>
    <w:p w14:paraId="1C4C9335" w14:textId="77777777" w:rsidR="00115021" w:rsidRDefault="00115021" w:rsidP="0011502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Actionable: Uses existing communication infrastructure.</w:t>
      </w:r>
    </w:p>
    <w:p w14:paraId="4A3E7524" w14:textId="77777777" w:rsidR="00115021" w:rsidRDefault="00115021" w:rsidP="0011502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 xml:space="preserve">Relevant: Aligns with </w:t>
      </w:r>
      <w:proofErr w:type="spellStart"/>
      <w:r w:rsidRPr="00115021">
        <w:rPr>
          <w:rFonts w:ascii="Arial" w:hAnsi="Arial" w:cs="Arial"/>
          <w:color w:val="000000" w:themeColor="text1"/>
        </w:rPr>
        <w:t>Geldium’s</w:t>
      </w:r>
      <w:proofErr w:type="spellEnd"/>
      <w:r w:rsidRPr="00115021">
        <w:rPr>
          <w:rFonts w:ascii="Arial" w:hAnsi="Arial" w:cs="Arial"/>
          <w:color w:val="000000" w:themeColor="text1"/>
        </w:rPr>
        <w:t xml:space="preserve"> goals to reduce credit risk and improve customer outcomes.</w:t>
      </w:r>
    </w:p>
    <w:p w14:paraId="472F696B" w14:textId="06D59193" w:rsidR="00A64C20" w:rsidRPr="00115021" w:rsidRDefault="00115021" w:rsidP="00115021">
      <w:pPr>
        <w:pStyle w:val="ListParagraph"/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Time-bound: Designed as a time-limited pilot with measurable outcomes.</w:t>
      </w:r>
    </w:p>
    <w:p w14:paraId="00EC1221" w14:textId="77777777" w:rsidR="00A64C20" w:rsidRPr="00115021" w:rsidRDefault="00115021">
      <w:pPr>
        <w:pStyle w:val="Heading1"/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3. Ethical and Responsible AI Considerations</w:t>
      </w:r>
    </w:p>
    <w:p w14:paraId="7FF89562" w14:textId="77777777" w:rsidR="00115021" w:rsidRDefault="00115021">
      <w:p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The model was evaluated for fairness using multiple performance metrics across age and income groups. No disproportionate flagging of protected segments was observed.</w:t>
      </w:r>
    </w:p>
    <w:p w14:paraId="71C8A2AE" w14:textId="77777777" w:rsidR="00115021" w:rsidRDefault="00115021" w:rsidP="00115021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Bias: We tested for overrepresentation in delinquency predictions and found a balanced outcome across customer demographics.</w:t>
      </w:r>
    </w:p>
    <w:p w14:paraId="6B3272FC" w14:textId="77777777" w:rsidR="00115021" w:rsidRDefault="00115021" w:rsidP="00115021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Explainability: The model uses logistic regression, which allows clear explanation of how key variables influence predictions.</w:t>
      </w:r>
    </w:p>
    <w:p w14:paraId="7B8030CF" w14:textId="00B642EF" w:rsidR="00A64C20" w:rsidRPr="00115021" w:rsidRDefault="00115021" w:rsidP="00115021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Responsible use: The recommendation is focused on early, supportive interventions rather than punitive action, reinforcing fairness and customer care principles.</w:t>
      </w:r>
    </w:p>
    <w:sectPr w:rsidR="00A64C20" w:rsidRPr="001150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3A59CF"/>
    <w:multiLevelType w:val="hybridMultilevel"/>
    <w:tmpl w:val="9A5E8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A25BD"/>
    <w:multiLevelType w:val="hybridMultilevel"/>
    <w:tmpl w:val="68DE6B9C"/>
    <w:lvl w:ilvl="0" w:tplc="BFD49B7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E3764E"/>
    <w:multiLevelType w:val="hybridMultilevel"/>
    <w:tmpl w:val="AA621F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FA112A"/>
    <w:multiLevelType w:val="hybridMultilevel"/>
    <w:tmpl w:val="552CE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17B"/>
    <w:rsid w:val="00115021"/>
    <w:rsid w:val="0015074B"/>
    <w:rsid w:val="0029639D"/>
    <w:rsid w:val="00326F90"/>
    <w:rsid w:val="008237CA"/>
    <w:rsid w:val="00A64C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070BB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ssinghal7866@gmail.com</cp:lastModifiedBy>
  <cp:revision>2</cp:revision>
  <dcterms:created xsi:type="dcterms:W3CDTF">2026-03-23T22:34:00Z</dcterms:created>
  <dcterms:modified xsi:type="dcterms:W3CDTF">2026-03-23T22:34:00Z</dcterms:modified>
  <cp:category/>
</cp:coreProperties>
</file>