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4 — FINAL REPORT</w:t>
      </w:r>
    </w:p>
    <w:p>
      <w:pPr>
        <w:jc w:val="center"/>
      </w:pPr>
      <w:r>
        <w:rPr>
          <w:b/>
          <w:sz w:val="50"/>
        </w:rPr>
        <w:t>Comprehensive Data Analysis, Reporting &amp; Presentation</w:t>
      </w:r>
    </w:p>
    <w:p>
      <w:pPr>
        <w:jc w:val="center"/>
      </w:pPr>
      <w:r>
        <w:rPr>
          <w:i/>
          <w:sz w:val="22"/>
        </w:rPr>
        <w:t>Integration of Data Preparation • Visualization • Statistics • Predictive Modeling</w:t>
      </w:r>
    </w:p>
    <w:p/>
    <w:tbl>
      <w:tblPr>
        <w:tblW w:type="auto" w:w="0"/>
        <w:jc w:val="center"/>
        <w:tblLook w:firstColumn="1" w:firstRow="1" w:lastColumn="0" w:lastRow="0" w:noHBand="0" w:noVBand="1" w:val="04A0"/>
      </w:tblPr>
      <w:tblGrid>
        <w:gridCol w:w="5083"/>
        <w:gridCol w:w="5083"/>
      </w:tblGrid>
      <w:tr>
        <w:tc>
          <w:tcPr>
            <w:tcW w:type="dxa" w:w="5083"/>
            <w:shd w:fill="EAF0FF"/>
            <w:vAlign w:val="center"/>
          </w:tcPr>
          <w:p>
            <w:r>
              <w:rPr>
                <w:b/>
              </w:rPr>
              <w:t>Student</w:t>
            </w:r>
          </w:p>
        </w:tc>
        <w:tc>
          <w:tcPr>
            <w:tcW w:type="dxa" w:w="5083"/>
            <w:vAlign w:val="center"/>
          </w:tcPr>
          <w:p>
            <w:r>
              <w:t>Shivam Nakoti</w:t>
            </w:r>
          </w:p>
        </w:tc>
      </w:tr>
      <w:tr>
        <w:tc>
          <w:tcPr>
            <w:tcW w:type="dxa" w:w="5083"/>
            <w:shd w:fill="EAF0FF"/>
            <w:vAlign w:val="center"/>
          </w:tcPr>
          <w:p>
            <w:r>
              <w:rPr>
                <w:b/>
              </w:rPr>
              <w:t>Week 1</w:t>
            </w:r>
          </w:p>
        </w:tc>
        <w:tc>
          <w:tcPr>
            <w:tcW w:type="dxa" w:w="5083"/>
            <w:vAlign w:val="center"/>
          </w:tcPr>
          <w:p>
            <w:r>
              <w:t>Titanic — data cleaning and exploratory analysis</w:t>
            </w:r>
          </w:p>
        </w:tc>
      </w:tr>
      <w:tr>
        <w:tc>
          <w:tcPr>
            <w:tcW w:type="dxa" w:w="5083"/>
            <w:shd w:fill="EAF0FF"/>
            <w:vAlign w:val="center"/>
          </w:tcPr>
          <w:p>
            <w:r>
              <w:rPr>
                <w:b/>
              </w:rPr>
              <w:t>Week 2</w:t>
            </w:r>
          </w:p>
        </w:tc>
        <w:tc>
          <w:tcPr>
            <w:tcW w:type="dxa" w:w="5083"/>
            <w:vAlign w:val="center"/>
          </w:tcPr>
          <w:p>
            <w:r>
              <w:t>Diamonds — visualization and insight communication</w:t>
            </w:r>
          </w:p>
        </w:tc>
      </w:tr>
      <w:tr>
        <w:tc>
          <w:tcPr>
            <w:tcW w:type="dxa" w:w="5083"/>
            <w:shd w:fill="EAF0FF"/>
            <w:vAlign w:val="center"/>
          </w:tcPr>
          <w:p>
            <w:r>
              <w:rPr>
                <w:b/>
              </w:rPr>
              <w:t>Week 3</w:t>
            </w:r>
          </w:p>
        </w:tc>
        <w:tc>
          <w:tcPr>
            <w:tcW w:type="dxa" w:w="5083"/>
            <w:vAlign w:val="center"/>
          </w:tcPr>
          <w:p>
            <w:r>
              <w:t>Iris — statistical analysis and predictive modeling</w:t>
            </w:r>
          </w:p>
        </w:tc>
      </w:tr>
    </w:tbl>
    <w:p>
      <w:pPr>
        <w:spacing w:before="180" w:after="100"/>
      </w:pPr>
      <w:r>
        <w:rPr>
          <w:b/>
          <w:sz w:val="32"/>
        </w:rPr>
        <w:t>1. Executive Summary</w:t>
      </w:r>
    </w:p>
    <w:p>
      <w:r>
        <w:t>This final-week report consolidates the analytical skills developed across the first three weeks into one coherent data-analysis workflow. Week 1 established data quality and exploratory analysis using a public Titanic dataset, including missing-value treatment, duplicate checks, IQR-based outlier detection, descriptive statistics and correlation. Week 2 focused on communicating patterns visually using the ggplot2 diamonds dataset through distributions, relationships, category comparisons, spread and trend analysis. Week 3 extended the workflow into formal statistical reasoning and predictive modeling with the iris dataset, including hypothesis testing, correlation, normality assessment, logistic regression, train-test evaluation, ROC/AUC and cross-validation. The final outcome is a reproducible, evidence-based workflow that moves from data preparation to insight discovery, statistical validation and prediction.</w:t>
      </w:r>
    </w:p>
    <w:p>
      <w:pPr>
        <w:spacing w:before="180" w:after="100"/>
      </w:pPr>
      <w:r>
        <w:rPr>
          <w:b/>
          <w:sz w:val="32"/>
        </w:rPr>
        <w:t>2. Objectives</w:t>
      </w:r>
    </w:p>
    <w:p>
      <w:pPr>
        <w:pStyle w:val="ListBullet"/>
      </w:pPr>
      <w:r>
        <w:t>Integrate data preparation, visualization, statistical analysis and predictive modeling into a single analytical narrative.</w:t>
      </w:r>
    </w:p>
    <w:p>
      <w:pPr>
        <w:pStyle w:val="ListBullet"/>
      </w:pPr>
      <w:r>
        <w:t>Demonstrate that chart selection and statistical testing should be driven by the analytical question.</w:t>
      </w:r>
    </w:p>
    <w:p>
      <w:pPr>
        <w:pStyle w:val="ListBullet"/>
      </w:pPr>
      <w:r>
        <w:t>Evaluate predictive performance using appropriate validation and classification metrics.</w:t>
      </w:r>
    </w:p>
    <w:p>
      <w:pPr>
        <w:pStyle w:val="ListBullet"/>
      </w:pPr>
      <w:r>
        <w:t>Translate technical findings into clear conclusions, practical implications and recommendations.</w:t>
      </w:r>
    </w:p>
    <w:p>
      <w:pPr>
        <w:pStyle w:val="ListBullet"/>
      </w:pPr>
      <w:r>
        <w:t>Maintain reproducibility by documenting R code and analytical decisions.</w:t>
      </w:r>
    </w:p>
    <w:p>
      <w:pPr>
        <w:spacing w:before="180" w:after="100"/>
      </w:pPr>
      <w:r>
        <w:rPr>
          <w:b/>
          <w:sz w:val="32"/>
        </w:rPr>
        <w:t>3. Integrated Analytical Workflow</w:t>
      </w:r>
    </w:p>
    <w:p>
      <w:r>
        <w:t>The workflow follows a practical sequence: first understand and clean the data, then explore it visually, next test important relationships statistically, and finally build and validate a predictive model where the problem supports it. This order reduces the risk of modeling poor-quality data and makes the final conclusions easier to explain.</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shd w:fill="EAF0FF"/>
          </w:tcPr>
          <w:p>
            <w:r>
              <w:rPr>
                <w:b/>
              </w:rPr>
              <w:t>1. Prepare</w:t>
            </w:r>
          </w:p>
        </w:tc>
        <w:tc>
          <w:tcPr>
            <w:tcW w:type="dxa" w:w="2033"/>
            <w:shd w:fill="EAF0FF"/>
          </w:tcPr>
          <w:p>
            <w:r>
              <w:rPr>
                <w:b/>
              </w:rPr>
              <w:t>2. Explore</w:t>
            </w:r>
          </w:p>
        </w:tc>
        <w:tc>
          <w:tcPr>
            <w:tcW w:type="dxa" w:w="2033"/>
            <w:shd w:fill="EAF0FF"/>
          </w:tcPr>
          <w:p>
            <w:r>
              <w:rPr>
                <w:b/>
              </w:rPr>
              <w:t>3. Visualize</w:t>
            </w:r>
          </w:p>
        </w:tc>
        <w:tc>
          <w:tcPr>
            <w:tcW w:type="dxa" w:w="2033"/>
            <w:shd w:fill="EAF0FF"/>
          </w:tcPr>
          <w:p>
            <w:r>
              <w:rPr>
                <w:b/>
              </w:rPr>
              <w:t>4. Test &amp; Model</w:t>
            </w:r>
          </w:p>
        </w:tc>
        <w:tc>
          <w:tcPr>
            <w:tcW w:type="dxa" w:w="2033"/>
            <w:shd w:fill="EAF0FF"/>
          </w:tcPr>
          <w:p>
            <w:r>
              <w:rPr>
                <w:b/>
              </w:rPr>
              <w:t>5. Communicate</w:t>
            </w:r>
          </w:p>
        </w:tc>
      </w:tr>
      <w:tr>
        <w:tc>
          <w:tcPr>
            <w:tcW w:type="dxa" w:w="2033"/>
          </w:tcPr>
          <w:p>
            <w:r>
              <w:t>Missing values, duplicates, outliers</w:t>
            </w:r>
          </w:p>
        </w:tc>
        <w:tc>
          <w:tcPr>
            <w:tcW w:type="dxa" w:w="2033"/>
          </w:tcPr>
          <w:p>
            <w:r>
              <w:t>Distributions &amp; relationships</w:t>
            </w:r>
          </w:p>
        </w:tc>
        <w:tc>
          <w:tcPr>
            <w:tcW w:type="dxa" w:w="2033"/>
          </w:tcPr>
          <w:p>
            <w:r>
              <w:t>Charts and trends</w:t>
            </w:r>
          </w:p>
        </w:tc>
        <w:tc>
          <w:tcPr>
            <w:tcW w:type="dxa" w:w="2033"/>
          </w:tcPr>
          <w:p>
            <w:r>
              <w:t>Tests, regression, CV</w:t>
            </w:r>
          </w:p>
        </w:tc>
        <w:tc>
          <w:tcPr>
            <w:tcW w:type="dxa" w:w="2033"/>
          </w:tcPr>
          <w:p>
            <w:r>
              <w:t>Insights, limits, recommendations</w:t>
            </w:r>
          </w:p>
        </w:tc>
      </w:tr>
    </w:tbl>
    <w:p>
      <w:pPr>
        <w:spacing w:before="180" w:after="100"/>
      </w:pPr>
      <w:r>
        <w:rPr>
          <w:b/>
          <w:sz w:val="32"/>
        </w:rPr>
        <w:t>4. Week 1 — Data Preparation &amp; Exploratory Analysis</w:t>
      </w:r>
    </w:p>
    <w:p>
      <w:r>
        <w:t>The Titanic dataset was used as the foundation for data-quality practice. The analysis began by profiling missing values and checking for duplicate observations. Missing numeric values were handled using a robust central-value approach, while categorical gaps were addressed using the most frequent category. Descriptive statistics were then used to understand the range and central tendency of numeric variables. An IQR rule was applied to flag unusually high or low fare values rather than automatically deleting them. Correlation analysis provided an initial view of relationships between numeric fields. The main lesson from this stage is that data cleaning is not simply a technical step: the decisions made here directly affect the reliability of later visualizations and models.</w:t>
      </w:r>
    </w:p>
    <w:tbl>
      <w:tblPr>
        <w:tblW w:type="auto" w:w="0"/>
        <w:jc w:val="center"/>
        <w:tblLook w:firstColumn="1" w:firstRow="1" w:lastColumn="0" w:lastRow="0" w:noHBand="0" w:noVBand="1" w:val="04A0"/>
      </w:tblPr>
      <w:tblGrid>
        <w:gridCol w:w="10166"/>
      </w:tblGrid>
      <w:tr>
        <w:tc>
          <w:tcPr>
            <w:tcW w:type="dxa" w:w="10166"/>
            <w:shd w:fill="F3F5F7"/>
          </w:tcPr>
          <w:p>
            <w:r>
              <w:rPr>
                <w:rFonts w:ascii="Consolas" w:hAnsi="Consolas"/>
                <w:sz w:val="16"/>
              </w:rPr>
              <w:t># Missing values</w:t>
              <w:br/>
            </w:r>
            <w:r>
              <w:rPr>
                <w:rFonts w:ascii="Consolas" w:hAnsi="Consolas"/>
                <w:sz w:val="16"/>
              </w:rPr>
              <w:t>colSums(is.na(titanic))</w:t>
              <w:br/>
            </w:r>
            <w:r>
              <w:rPr>
                <w:rFonts w:ascii="Consolas" w:hAnsi="Consolas"/>
                <w:sz w:val="16"/>
              </w:rPr>
              <w:br/>
            </w:r>
            <w:r>
              <w:rPr>
                <w:rFonts w:ascii="Consolas" w:hAnsi="Consolas"/>
                <w:sz w:val="16"/>
              </w:rPr>
              <w:t># Remove exact duplicates</w:t>
              <w:br/>
            </w:r>
            <w:r>
              <w:rPr>
                <w:rFonts w:ascii="Consolas" w:hAnsi="Consolas"/>
                <w:sz w:val="16"/>
              </w:rPr>
              <w:t>titanic &lt;- distinct(titanic)</w:t>
              <w:br/>
            </w:r>
            <w:r>
              <w:rPr>
                <w:rFonts w:ascii="Consolas" w:hAnsi="Consolas"/>
                <w:sz w:val="16"/>
              </w:rPr>
              <w:br/>
            </w:r>
            <w:r>
              <w:rPr>
                <w:rFonts w:ascii="Consolas" w:hAnsi="Consolas"/>
                <w:sz w:val="16"/>
              </w:rPr>
              <w:t># IQR-based outlier identification</w:t>
              <w:br/>
            </w:r>
            <w:r>
              <w:rPr>
                <w:rFonts w:ascii="Consolas" w:hAnsi="Consolas"/>
                <w:sz w:val="16"/>
              </w:rPr>
              <w:t>Q1 &lt;- quantile(titanic$Fare, .25, na.rm = TRUE)</w:t>
              <w:br/>
            </w:r>
            <w:r>
              <w:rPr>
                <w:rFonts w:ascii="Consolas" w:hAnsi="Consolas"/>
                <w:sz w:val="16"/>
              </w:rPr>
              <w:t>Q3 &lt;- quantile(titanic$Fare, .75, na.rm = TRUE)</w:t>
              <w:br/>
            </w:r>
            <w:r>
              <w:rPr>
                <w:rFonts w:ascii="Consolas" w:hAnsi="Consolas"/>
                <w:sz w:val="16"/>
              </w:rPr>
              <w:t>IQR_value &lt;- IQR(titanic$Fare, na.rm = TRUE)</w:t>
            </w:r>
          </w:p>
        </w:tc>
      </w:tr>
    </w:tbl>
    <w:p/>
    <w:p>
      <w:pPr>
        <w:spacing w:before="180" w:after="100"/>
      </w:pPr>
      <w:r>
        <w:rPr>
          <w:b/>
          <w:sz w:val="32"/>
        </w:rPr>
        <w:t>5. Week 2 — Visualization &amp; Insight Communication</w:t>
      </w:r>
    </w:p>
    <w:p>
      <w:r>
        <w:t>The diamonds dataset was used to demonstrate how visual design can turn a large table into a readable analytical story. The histogram highlighted the right-skewed price distribution. The scatter plot showed a strong positive relationship between carat and price while allowing comparison across cut categories. The bar chart provided a quick comparison of average price by cut, the box plot showed variation across clarity levels, and the line chart summarized the upward trend in average price across ordered carat ranges. These visualizations demonstrate that no single chart is sufficient for every question; the best chart is the one that makes the intended pattern easiest to interpret.</w:t>
      </w:r>
    </w:p>
    <w:p>
      <w:r>
        <w:rPr>
          <w:b/>
        </w:rPr>
        <w:t>Price distribution</w:t>
      </w:r>
    </w:p>
    <w:p>
      <w:pPr>
        <w:jc w:val="center"/>
      </w:pPr>
      <w:r>
        <w:drawing>
          <wp:inline xmlns:a="http://schemas.openxmlformats.org/drawingml/2006/main" xmlns:pic="http://schemas.openxmlformats.org/drawingml/2006/picture">
            <wp:extent cx="5394960" cy="3034665"/>
            <wp:docPr id="1" name="Picture 1"/>
            <wp:cNvGraphicFramePr>
              <a:graphicFrameLocks noChangeAspect="1"/>
            </wp:cNvGraphicFramePr>
            <a:graphic>
              <a:graphicData uri="http://schemas.openxmlformats.org/drawingml/2006/picture">
                <pic:pic>
                  <pic:nvPicPr>
                    <pic:cNvPr id="0" name="plot_1_histogram.png"/>
                    <pic:cNvPicPr/>
                  </pic:nvPicPr>
                  <pic:blipFill>
                    <a:blip r:embed="rId9"/>
                    <a:stretch>
                      <a:fillRect/>
                    </a:stretch>
                  </pic:blipFill>
                  <pic:spPr>
                    <a:xfrm>
                      <a:off x="0" y="0"/>
                      <a:ext cx="5394960" cy="3034665"/>
                    </a:xfrm>
                    <a:prstGeom prst="rect"/>
                  </pic:spPr>
                </pic:pic>
              </a:graphicData>
            </a:graphic>
          </wp:inline>
        </w:drawing>
      </w:r>
    </w:p>
    <w:p>
      <w:r>
        <w:rPr>
          <w:b/>
        </w:rPr>
        <w:t>Carat-price relationship</w:t>
      </w:r>
    </w:p>
    <w:p>
      <w:pPr>
        <w:jc w:val="center"/>
      </w:pPr>
      <w:r>
        <w:drawing>
          <wp:inline xmlns:a="http://schemas.openxmlformats.org/drawingml/2006/main" xmlns:pic="http://schemas.openxmlformats.org/drawingml/2006/picture">
            <wp:extent cx="5394960" cy="3034665"/>
            <wp:docPr id="2" name="Picture 2"/>
            <wp:cNvGraphicFramePr>
              <a:graphicFrameLocks noChangeAspect="1"/>
            </wp:cNvGraphicFramePr>
            <a:graphic>
              <a:graphicData uri="http://schemas.openxmlformats.org/drawingml/2006/picture">
                <pic:pic>
                  <pic:nvPicPr>
                    <pic:cNvPr id="0" name="plot_2_scatter.png"/>
                    <pic:cNvPicPr/>
                  </pic:nvPicPr>
                  <pic:blipFill>
                    <a:blip r:embed="rId10"/>
                    <a:stretch>
                      <a:fillRect/>
                    </a:stretch>
                  </pic:blipFill>
                  <pic:spPr>
                    <a:xfrm>
                      <a:off x="0" y="0"/>
                      <a:ext cx="5394960" cy="3034665"/>
                    </a:xfrm>
                    <a:prstGeom prst="rect"/>
                  </pic:spPr>
                </pic:pic>
              </a:graphicData>
            </a:graphic>
          </wp:inline>
        </w:drawing>
      </w:r>
    </w:p>
    <w:p>
      <w:r>
        <w:rPr>
          <w:b/>
        </w:rPr>
        <w:t>Average price by cut</w:t>
      </w:r>
    </w:p>
    <w:p>
      <w:pPr>
        <w:jc w:val="center"/>
      </w:pPr>
      <w:r>
        <w:drawing>
          <wp:inline xmlns:a="http://schemas.openxmlformats.org/drawingml/2006/main" xmlns:pic="http://schemas.openxmlformats.org/drawingml/2006/picture">
            <wp:extent cx="5394960" cy="3034665"/>
            <wp:docPr id="3" name="Picture 3"/>
            <wp:cNvGraphicFramePr>
              <a:graphicFrameLocks noChangeAspect="1"/>
            </wp:cNvGraphicFramePr>
            <a:graphic>
              <a:graphicData uri="http://schemas.openxmlformats.org/drawingml/2006/picture">
                <pic:pic>
                  <pic:nvPicPr>
                    <pic:cNvPr id="0" name="plot_3_bar.png"/>
                    <pic:cNvPicPr/>
                  </pic:nvPicPr>
                  <pic:blipFill>
                    <a:blip r:embed="rId11"/>
                    <a:stretch>
                      <a:fillRect/>
                    </a:stretch>
                  </pic:blipFill>
                  <pic:spPr>
                    <a:xfrm>
                      <a:off x="0" y="0"/>
                      <a:ext cx="5394960" cy="3034665"/>
                    </a:xfrm>
                    <a:prstGeom prst="rect"/>
                  </pic:spPr>
                </pic:pic>
              </a:graphicData>
            </a:graphic>
          </wp:inline>
        </w:drawing>
      </w:r>
    </w:p>
    <w:p>
      <w:r>
        <w:rPr>
          <w:b/>
        </w:rPr>
        <w:t>Price spread by clarity</w:t>
      </w:r>
    </w:p>
    <w:p>
      <w:pPr>
        <w:jc w:val="center"/>
      </w:pPr>
      <w:r>
        <w:drawing>
          <wp:inline xmlns:a="http://schemas.openxmlformats.org/drawingml/2006/main" xmlns:pic="http://schemas.openxmlformats.org/drawingml/2006/picture">
            <wp:extent cx="5394960" cy="3034665"/>
            <wp:docPr id="4" name="Picture 4"/>
            <wp:cNvGraphicFramePr>
              <a:graphicFrameLocks noChangeAspect="1"/>
            </wp:cNvGraphicFramePr>
            <a:graphic>
              <a:graphicData uri="http://schemas.openxmlformats.org/drawingml/2006/picture">
                <pic:pic>
                  <pic:nvPicPr>
                    <pic:cNvPr id="0" name="plot_4_box.png"/>
                    <pic:cNvPicPr/>
                  </pic:nvPicPr>
                  <pic:blipFill>
                    <a:blip r:embed="rId12"/>
                    <a:stretch>
                      <a:fillRect/>
                    </a:stretch>
                  </pic:blipFill>
                  <pic:spPr>
                    <a:xfrm>
                      <a:off x="0" y="0"/>
                      <a:ext cx="5394960" cy="3034665"/>
                    </a:xfrm>
                    <a:prstGeom prst="rect"/>
                  </pic:spPr>
                </pic:pic>
              </a:graphicData>
            </a:graphic>
          </wp:inline>
        </w:drawing>
      </w:r>
    </w:p>
    <w:p>
      <w:r>
        <w:rPr>
          <w:b/>
        </w:rPr>
        <w:t>Average price trend</w:t>
      </w:r>
    </w:p>
    <w:p>
      <w:pPr>
        <w:jc w:val="center"/>
      </w:pPr>
      <w:r>
        <w:drawing>
          <wp:inline xmlns:a="http://schemas.openxmlformats.org/drawingml/2006/main" xmlns:pic="http://schemas.openxmlformats.org/drawingml/2006/picture">
            <wp:extent cx="5394960" cy="3034665"/>
            <wp:docPr id="5" name="Picture 5"/>
            <wp:cNvGraphicFramePr>
              <a:graphicFrameLocks noChangeAspect="1"/>
            </wp:cNvGraphicFramePr>
            <a:graphic>
              <a:graphicData uri="http://schemas.openxmlformats.org/drawingml/2006/picture">
                <pic:pic>
                  <pic:nvPicPr>
                    <pic:cNvPr id="0" name="plot_5_line.png"/>
                    <pic:cNvPicPr/>
                  </pic:nvPicPr>
                  <pic:blipFill>
                    <a:blip r:embed="rId13"/>
                    <a:stretch>
                      <a:fillRect/>
                    </a:stretch>
                  </pic:blipFill>
                  <pic:spPr>
                    <a:xfrm>
                      <a:off x="0" y="0"/>
                      <a:ext cx="5394960" cy="3034665"/>
                    </a:xfrm>
                    <a:prstGeom prst="rect"/>
                  </pic:spPr>
                </pic:pic>
              </a:graphicData>
            </a:graphic>
          </wp:inline>
        </w:drawing>
      </w:r>
    </w:p>
    <w:p>
      <w:pPr>
        <w:spacing w:before="180" w:after="100"/>
      </w:pPr>
      <w:r>
        <w:rPr>
          <w:b/>
          <w:sz w:val="32"/>
        </w:rPr>
        <w:t>6. Week 3 — Statistical Analysis &amp; Predictive Modeling</w:t>
      </w:r>
    </w:p>
    <w:p>
      <w:r>
        <w:t>The iris dataset was used to move from descriptive analysis into formal statistical reasoning and classification. A Welch t-test was used to compare groups, Pearson correlation tested the association between selected numeric variables, and the Shapiro-Wilk test was used to examine a normality assumption. For prediction, the target was converted into a binary classification problem: setosa versus other species. A logistic regression model used the four measured flower features as predictors. The data were split into training and testing sets, and the model was evaluated using a confusion matrix and metrics including accuracy, precision, recall and F1. ROC/AUC and 5-fold cross-validation were added to reduce the chance of relying on a single train-test split.</w:t>
      </w:r>
    </w:p>
    <w:p>
      <w:r>
        <w:rPr>
          <w:b/>
        </w:rPr>
        <w:t>Class distribution</w:t>
      </w:r>
    </w:p>
    <w:p>
      <w:pPr>
        <w:jc w:val="center"/>
      </w:pPr>
      <w:r>
        <w:drawing>
          <wp:inline xmlns:a="http://schemas.openxmlformats.org/drawingml/2006/main" xmlns:pic="http://schemas.openxmlformats.org/drawingml/2006/picture">
            <wp:extent cx="5394960" cy="3098356"/>
            <wp:docPr id="6" name="Picture 6"/>
            <wp:cNvGraphicFramePr>
              <a:graphicFrameLocks noChangeAspect="1"/>
            </wp:cNvGraphicFramePr>
            <a:graphic>
              <a:graphicData uri="http://schemas.openxmlformats.org/drawingml/2006/picture">
                <pic:pic>
                  <pic:nvPicPr>
                    <pic:cNvPr id="0" name="w3_class_distribution.png"/>
                    <pic:cNvPicPr/>
                  </pic:nvPicPr>
                  <pic:blipFill>
                    <a:blip r:embed="rId14"/>
                    <a:stretch>
                      <a:fillRect/>
                    </a:stretch>
                  </pic:blipFill>
                  <pic:spPr>
                    <a:xfrm>
                      <a:off x="0" y="0"/>
                      <a:ext cx="5394960" cy="3098356"/>
                    </a:xfrm>
                    <a:prstGeom prst="rect"/>
                  </pic:spPr>
                </pic:pic>
              </a:graphicData>
            </a:graphic>
          </wp:inline>
        </w:drawing>
      </w:r>
    </w:p>
    <w:p>
      <w:r>
        <w:rPr>
          <w:b/>
        </w:rPr>
        <w:t>Confusion matrix</w:t>
      </w:r>
    </w:p>
    <w:p>
      <w:pPr>
        <w:jc w:val="center"/>
      </w:pPr>
      <w:r>
        <w:drawing>
          <wp:inline xmlns:a="http://schemas.openxmlformats.org/drawingml/2006/main" xmlns:pic="http://schemas.openxmlformats.org/drawingml/2006/picture">
            <wp:extent cx="5394960" cy="3098356"/>
            <wp:docPr id="7" name="Picture 7"/>
            <wp:cNvGraphicFramePr>
              <a:graphicFrameLocks noChangeAspect="1"/>
            </wp:cNvGraphicFramePr>
            <a:graphic>
              <a:graphicData uri="http://schemas.openxmlformats.org/drawingml/2006/picture">
                <pic:pic>
                  <pic:nvPicPr>
                    <pic:cNvPr id="0" name="w3_confusion_matrix.png"/>
                    <pic:cNvPicPr/>
                  </pic:nvPicPr>
                  <pic:blipFill>
                    <a:blip r:embed="rId15"/>
                    <a:stretch>
                      <a:fillRect/>
                    </a:stretch>
                  </pic:blipFill>
                  <pic:spPr>
                    <a:xfrm>
                      <a:off x="0" y="0"/>
                      <a:ext cx="5394960" cy="3098356"/>
                    </a:xfrm>
                    <a:prstGeom prst="rect"/>
                  </pic:spPr>
                </pic:pic>
              </a:graphicData>
            </a:graphic>
          </wp:inline>
        </w:drawing>
      </w:r>
    </w:p>
    <w:p>
      <w:r>
        <w:rPr>
          <w:b/>
        </w:rPr>
        <w:t>ROC curve</w:t>
      </w:r>
    </w:p>
    <w:p>
      <w:pPr>
        <w:jc w:val="center"/>
      </w:pPr>
      <w:r>
        <w:drawing>
          <wp:inline xmlns:a="http://schemas.openxmlformats.org/drawingml/2006/main" xmlns:pic="http://schemas.openxmlformats.org/drawingml/2006/picture">
            <wp:extent cx="5394960" cy="3098356"/>
            <wp:docPr id="8" name="Picture 8"/>
            <wp:cNvGraphicFramePr>
              <a:graphicFrameLocks noChangeAspect="1"/>
            </wp:cNvGraphicFramePr>
            <a:graphic>
              <a:graphicData uri="http://schemas.openxmlformats.org/drawingml/2006/picture">
                <pic:pic>
                  <pic:nvPicPr>
                    <pic:cNvPr id="0" name="w3_roc.png"/>
                    <pic:cNvPicPr/>
                  </pic:nvPicPr>
                  <pic:blipFill>
                    <a:blip r:embed="rId16"/>
                    <a:stretch>
                      <a:fillRect/>
                    </a:stretch>
                  </pic:blipFill>
                  <pic:spPr>
                    <a:xfrm>
                      <a:off x="0" y="0"/>
                      <a:ext cx="5394960" cy="3098356"/>
                    </a:xfrm>
                    <a:prstGeom prst="rect"/>
                  </pic:spPr>
                </pic:pic>
              </a:graphicData>
            </a:graphic>
          </wp:inline>
        </w:drawing>
      </w:r>
    </w:p>
    <w:p>
      <w:r>
        <w:rPr>
          <w:b/>
        </w:rPr>
        <w:t>Cross-validation performance</w:t>
      </w:r>
    </w:p>
    <w:p>
      <w:pPr>
        <w:jc w:val="center"/>
      </w:pPr>
      <w:r>
        <w:drawing>
          <wp:inline xmlns:a="http://schemas.openxmlformats.org/drawingml/2006/main" xmlns:pic="http://schemas.openxmlformats.org/drawingml/2006/picture">
            <wp:extent cx="5394960" cy="3098356"/>
            <wp:docPr id="9" name="Picture 9"/>
            <wp:cNvGraphicFramePr>
              <a:graphicFrameLocks noChangeAspect="1"/>
            </wp:cNvGraphicFramePr>
            <a:graphic>
              <a:graphicData uri="http://schemas.openxmlformats.org/drawingml/2006/picture">
                <pic:pic>
                  <pic:nvPicPr>
                    <pic:cNvPr id="0" name="w3_cv_accuracy.png"/>
                    <pic:cNvPicPr/>
                  </pic:nvPicPr>
                  <pic:blipFill>
                    <a:blip r:embed="rId17"/>
                    <a:stretch>
                      <a:fillRect/>
                    </a:stretch>
                  </pic:blipFill>
                  <pic:spPr>
                    <a:xfrm>
                      <a:off x="0" y="0"/>
                      <a:ext cx="5394960" cy="3098356"/>
                    </a:xfrm>
                    <a:prstGeom prst="rect"/>
                  </pic:spPr>
                </pic:pic>
              </a:graphicData>
            </a:graphic>
          </wp:inline>
        </w:drawing>
      </w:r>
    </w:p>
    <w:p>
      <w:r>
        <w:rPr>
          <w:b/>
        </w:rPr>
        <w:t>Model diagnostic / residual view</w:t>
      </w:r>
    </w:p>
    <w:p>
      <w:pPr>
        <w:jc w:val="center"/>
      </w:pPr>
      <w:r>
        <w:drawing>
          <wp:inline xmlns:a="http://schemas.openxmlformats.org/drawingml/2006/main" xmlns:pic="http://schemas.openxmlformats.org/drawingml/2006/picture">
            <wp:extent cx="5394960" cy="3098356"/>
            <wp:docPr id="10" name="Picture 10"/>
            <wp:cNvGraphicFramePr>
              <a:graphicFrameLocks noChangeAspect="1"/>
            </wp:cNvGraphicFramePr>
            <a:graphic>
              <a:graphicData uri="http://schemas.openxmlformats.org/drawingml/2006/picture">
                <pic:pic>
                  <pic:nvPicPr>
                    <pic:cNvPr id="0" name="w3_class_residuals.png"/>
                    <pic:cNvPicPr/>
                  </pic:nvPicPr>
                  <pic:blipFill>
                    <a:blip r:embed="rId18"/>
                    <a:stretch>
                      <a:fillRect/>
                    </a:stretch>
                  </pic:blipFill>
                  <pic:spPr>
                    <a:xfrm>
                      <a:off x="0" y="0"/>
                      <a:ext cx="5394960" cy="3098356"/>
                    </a:xfrm>
                    <a:prstGeom prst="rect"/>
                  </pic:spPr>
                </pic:pic>
              </a:graphicData>
            </a:graphic>
          </wp:inline>
        </w:drawing>
      </w:r>
    </w:p>
    <w:p>
      <w:pPr>
        <w:spacing w:before="180" w:after="100"/>
      </w:pPr>
      <w:r>
        <w:rPr>
          <w:b/>
          <w:sz w:val="32"/>
        </w:rPr>
        <w:t>7. Comparative Findings</w:t>
      </w:r>
    </w:p>
    <w:tbl>
      <w:tblPr>
        <w:tblW w:type="auto" w:w="0"/>
        <w:jc w:val="center"/>
        <w:tblLook w:firstColumn="1" w:firstRow="1" w:lastColumn="0" w:lastRow="0" w:noHBand="0" w:noVBand="1" w:val="04A0"/>
      </w:tblPr>
      <w:tblGrid>
        <w:gridCol w:w="2541"/>
        <w:gridCol w:w="2541"/>
        <w:gridCol w:w="2541"/>
        <w:gridCol w:w="2541"/>
      </w:tblGrid>
      <w:tr>
        <w:tc>
          <w:tcPr>
            <w:tcW w:type="dxa" w:w="2541"/>
            <w:shd w:fill="EAF0FF"/>
          </w:tcPr>
          <w:p>
            <w:r>
              <w:rPr>
                <w:b/>
              </w:rPr>
              <w:t>Stage</w:t>
            </w:r>
          </w:p>
        </w:tc>
        <w:tc>
          <w:tcPr>
            <w:tcW w:type="dxa" w:w="2541"/>
            <w:shd w:fill="EAF0FF"/>
          </w:tcPr>
          <w:p>
            <w:r>
              <w:rPr>
                <w:b/>
              </w:rPr>
              <w:t>Dataset</w:t>
            </w:r>
          </w:p>
        </w:tc>
        <w:tc>
          <w:tcPr>
            <w:tcW w:type="dxa" w:w="2541"/>
            <w:shd w:fill="EAF0FF"/>
          </w:tcPr>
          <w:p>
            <w:r>
              <w:rPr>
                <w:b/>
              </w:rPr>
              <w:t>Main Method</w:t>
            </w:r>
          </w:p>
        </w:tc>
        <w:tc>
          <w:tcPr>
            <w:tcW w:type="dxa" w:w="2541"/>
            <w:shd w:fill="EAF0FF"/>
          </w:tcPr>
          <w:p>
            <w:r>
              <w:rPr>
                <w:b/>
              </w:rPr>
              <w:t>Key Learning</w:t>
            </w:r>
          </w:p>
        </w:tc>
      </w:tr>
      <w:tr>
        <w:tc>
          <w:tcPr>
            <w:tcW w:type="dxa" w:w="2541"/>
          </w:tcPr>
          <w:p>
            <w:r>
              <w:t>Week 1</w:t>
            </w:r>
          </w:p>
        </w:tc>
        <w:tc>
          <w:tcPr>
            <w:tcW w:type="dxa" w:w="2541"/>
          </w:tcPr>
          <w:p>
            <w:r>
              <w:t>Titanic</w:t>
            </w:r>
          </w:p>
        </w:tc>
        <w:tc>
          <w:tcPr>
            <w:tcW w:type="dxa" w:w="2541"/>
          </w:tcPr>
          <w:p>
            <w:r>
              <w:t>Cleaning + EDA</w:t>
            </w:r>
          </w:p>
        </w:tc>
        <w:tc>
          <w:tcPr>
            <w:tcW w:type="dxa" w:w="2541"/>
          </w:tcPr>
          <w:p>
            <w:r>
              <w:t>Reliable analysis starts with data quality.</w:t>
            </w:r>
          </w:p>
        </w:tc>
      </w:tr>
      <w:tr>
        <w:tc>
          <w:tcPr>
            <w:tcW w:type="dxa" w:w="2541"/>
          </w:tcPr>
          <w:p>
            <w:r>
              <w:t>Week 2</w:t>
            </w:r>
          </w:p>
        </w:tc>
        <w:tc>
          <w:tcPr>
            <w:tcW w:type="dxa" w:w="2541"/>
          </w:tcPr>
          <w:p>
            <w:r>
              <w:t>Diamonds</w:t>
            </w:r>
          </w:p>
        </w:tc>
        <w:tc>
          <w:tcPr>
            <w:tcW w:type="dxa" w:w="2541"/>
          </w:tcPr>
          <w:p>
            <w:r>
              <w:t>ggplot2 visualization</w:t>
            </w:r>
          </w:p>
        </w:tc>
        <w:tc>
          <w:tcPr>
            <w:tcW w:type="dxa" w:w="2541"/>
          </w:tcPr>
          <w:p>
            <w:r>
              <w:t>Chart choice determines how clearly patterns are communicated.</w:t>
            </w:r>
          </w:p>
        </w:tc>
      </w:tr>
      <w:tr>
        <w:tc>
          <w:tcPr>
            <w:tcW w:type="dxa" w:w="2541"/>
          </w:tcPr>
          <w:p>
            <w:r>
              <w:t>Week 3</w:t>
            </w:r>
          </w:p>
        </w:tc>
        <w:tc>
          <w:tcPr>
            <w:tcW w:type="dxa" w:w="2541"/>
          </w:tcPr>
          <w:p>
            <w:r>
              <w:t>Iris</w:t>
            </w:r>
          </w:p>
        </w:tc>
        <w:tc>
          <w:tcPr>
            <w:tcW w:type="dxa" w:w="2541"/>
          </w:tcPr>
          <w:p>
            <w:r>
              <w:t>Statistics + logistic regression</w:t>
            </w:r>
          </w:p>
        </w:tc>
        <w:tc>
          <w:tcPr>
            <w:tcW w:type="dxa" w:w="2541"/>
          </w:tcPr>
          <w:p>
            <w:r>
              <w:t>Statistical evidence and validation strengthen conclusions.</w:t>
            </w:r>
          </w:p>
        </w:tc>
      </w:tr>
    </w:tbl>
    <w:p>
      <w:pPr>
        <w:spacing w:before="180" w:after="100"/>
      </w:pPr>
      <w:r>
        <w:rPr>
          <w:b/>
          <w:sz w:val="32"/>
        </w:rPr>
        <w:t>8. Discussion &amp; Practical Implications</w:t>
      </w:r>
    </w:p>
    <w:p>
      <w:r>
        <w:t>Across the three stages, the strongest recurring theme is that analytical conclusions should be supported by multiple forms of evidence. Cleaning identifies data-quality risks before they propagate. Visualization makes patterns visible and accessible to non-technical audiences. Statistical tests add a formal framework for judging whether observed relationships are consistent with a stated hypothesis. Predictive modeling then asks a different question: how well can the observed features classify a future or unseen observation? For practical analytics work, these stages should not be treated as isolated assignments. They form a reusable workflow for business questions such as customer analysis, risk assessment, performance monitoring and operational forecasting.</w:t>
      </w:r>
    </w:p>
    <w:p>
      <w:pPr>
        <w:spacing w:before="180" w:after="100"/>
      </w:pPr>
      <w:r>
        <w:rPr>
          <w:b/>
          <w:sz w:val="32"/>
        </w:rPr>
        <w:t>9. Challenges and Limitations</w:t>
      </w:r>
    </w:p>
    <w:p>
      <w:pPr>
        <w:pStyle w:val="ListBullet"/>
      </w:pPr>
      <w:r>
        <w:t>The three weeks used different public datasets, so the final report integrates the methods as a common analytical workflow rather than pretending they represent one business dataset.</w:t>
      </w:r>
    </w:p>
    <w:p>
      <w:pPr>
        <w:pStyle w:val="ListBullet"/>
      </w:pPr>
      <w:r>
        <w:t>Outlier detection identifies unusual observations but does not automatically prove that they are erroneous.</w:t>
      </w:r>
    </w:p>
    <w:p>
      <w:pPr>
        <w:pStyle w:val="ListBullet"/>
      </w:pPr>
      <w:r>
        <w:t>Descriptive relationships should not be interpreted as causal relationships without an appropriate experimental or causal design.</w:t>
      </w:r>
    </w:p>
    <w:p>
      <w:pPr>
        <w:pStyle w:val="ListBullet"/>
      </w:pPr>
      <w:r>
        <w:t>A single train-test split can vary with random sampling; cross-validation provides a more stable estimate but does not eliminate all modeling uncertainty.</w:t>
      </w:r>
    </w:p>
    <w:p>
      <w:pPr>
        <w:pStyle w:val="ListBullet"/>
      </w:pPr>
      <w:r>
        <w:t>Predictive performance depends on feature quality, class balance, data representativeness and assumptions behind the selected model.</w:t>
      </w:r>
    </w:p>
    <w:p>
      <w:pPr>
        <w:spacing w:before="180" w:after="100"/>
      </w:pPr>
      <w:r>
        <w:rPr>
          <w:b/>
          <w:sz w:val="32"/>
        </w:rPr>
        <w:t>10. Recommendations &amp; Future Work</w:t>
      </w:r>
    </w:p>
    <w:p>
      <w:pPr>
        <w:pStyle w:val="ListBullet"/>
      </w:pPr>
      <w:r>
        <w:t>Use domain-specific validation rules before removing or transforming unusual records.</w:t>
      </w:r>
    </w:p>
    <w:p>
      <w:pPr>
        <w:pStyle w:val="ListBullet"/>
      </w:pPr>
      <w:r>
        <w:t>Add feature engineering and model comparison when predictive accuracy is a primary objective.</w:t>
      </w:r>
    </w:p>
    <w:p>
      <w:pPr>
        <w:pStyle w:val="ListBullet"/>
      </w:pPr>
      <w:r>
        <w:t>Use repeated cross-validation or a separate holdout set for higher-confidence model evaluation.</w:t>
      </w:r>
    </w:p>
    <w:p>
      <w:pPr>
        <w:pStyle w:val="ListBullet"/>
      </w:pPr>
      <w:r>
        <w:t>Build an interactive dashboard in a tool such as Power BI when stakeholders need filtering and monitoring.</w:t>
      </w:r>
    </w:p>
    <w:p>
      <w:pPr>
        <w:pStyle w:val="ListBullet"/>
      </w:pPr>
      <w:r>
        <w:t>Automate the R workflow so that data refresh, cleaning, visualization and model evaluation can be reproduced consistently.</w:t>
      </w:r>
    </w:p>
    <w:p>
      <w:pPr>
        <w:spacing w:before="180" w:after="100"/>
      </w:pPr>
      <w:r>
        <w:rPr>
          <w:b/>
          <w:sz w:val="32"/>
        </w:rPr>
        <w:t>11. Reproducibility — R Code</w:t>
      </w:r>
    </w:p>
    <w:p>
      <w:r>
        <w:t>The companion R script supplied with this report consolidates representative code from all three analytical stages. It is organized into clearly labeled sections so an evaluator can trace the progression from cleaning to visualization, statistical testing and predictive modeling.</w:t>
      </w:r>
    </w:p>
    <w:tbl>
      <w:tblPr>
        <w:tblW w:type="auto" w:w="0"/>
        <w:jc w:val="center"/>
        <w:tblLook w:firstColumn="1" w:firstRow="1" w:lastColumn="0" w:lastRow="0" w:noHBand="0" w:noVBand="1" w:val="04A0"/>
      </w:tblPr>
      <w:tblGrid>
        <w:gridCol w:w="10166"/>
      </w:tblGrid>
      <w:tr>
        <w:tc>
          <w:tcPr>
            <w:tcW w:type="dxa" w:w="10166"/>
            <w:shd w:fill="F3F5F7"/>
          </w:tcPr>
          <w:p>
            <w:r>
              <w:rPr>
                <w:rFonts w:ascii="Consolas" w:hAnsi="Consolas"/>
                <w:sz w:val="16"/>
              </w:rPr>
              <w:t># WEEK 4 - Comprehensive Data Analysis Reporting</w:t>
              <w:br/>
            </w:r>
            <w:r>
              <w:rPr>
                <w:rFonts w:ascii="Consolas" w:hAnsi="Consolas"/>
                <w:sz w:val="16"/>
              </w:rPr>
              <w:t># Shivam Nakoti</w:t>
              <w:br/>
            </w:r>
            <w:r>
              <w:rPr>
                <w:rFonts w:ascii="Consolas" w:hAnsi="Consolas"/>
                <w:sz w:val="16"/>
              </w:rPr>
              <w:t># This script consolidates the methods used across Weeks 1-3.</w:t>
              <w:br/>
            </w:r>
            <w:r>
              <w:rPr>
                <w:rFonts w:ascii="Consolas" w:hAnsi="Consolas"/>
                <w:sz w:val="16"/>
              </w:rPr>
              <w:br/>
            </w:r>
            <w:r>
              <w:rPr>
                <w:rFonts w:ascii="Consolas" w:hAnsi="Consolas"/>
                <w:sz w:val="16"/>
              </w:rPr>
              <w:t># Packages</w:t>
              <w:br/>
            </w:r>
            <w:r>
              <w:rPr>
                <w:rFonts w:ascii="Consolas" w:hAnsi="Consolas"/>
                <w:sz w:val="16"/>
              </w:rPr>
              <w:t>library(tidyverse)</w:t>
              <w:br/>
            </w:r>
            <w:r>
              <w:rPr>
                <w:rFonts w:ascii="Consolas" w:hAnsi="Consolas"/>
                <w:sz w:val="16"/>
              </w:rPr>
              <w:t>library(ggplot2)</w:t>
              <w:br/>
            </w:r>
            <w:r>
              <w:rPr>
                <w:rFonts w:ascii="Consolas" w:hAnsi="Consolas"/>
                <w:sz w:val="16"/>
              </w:rPr>
              <w:t>library(dplyr)</w:t>
              <w:br/>
            </w:r>
            <w:r>
              <w:rPr>
                <w:rFonts w:ascii="Consolas" w:hAnsi="Consolas"/>
                <w:sz w:val="16"/>
              </w:rPr>
              <w:t>library(scales)</w:t>
              <w:br/>
            </w:r>
            <w:r>
              <w:rPr>
                <w:rFonts w:ascii="Consolas" w:hAnsi="Consolas"/>
                <w:sz w:val="16"/>
              </w:rPr>
              <w:t>library(caret)</w:t>
              <w:br/>
            </w:r>
            <w:r>
              <w:rPr>
                <w:rFonts w:ascii="Consolas" w:hAnsi="Consolas"/>
                <w:sz w:val="16"/>
              </w:rPr>
              <w:t>library(pROC)</w:t>
              <w:br/>
            </w:r>
            <w:r>
              <w:rPr>
                <w:rFonts w:ascii="Consolas" w:hAnsi="Consolas"/>
                <w:sz w:val="16"/>
              </w:rPr>
              <w:br/>
            </w:r>
            <w:r>
              <w:rPr>
                <w:rFonts w:ascii="Consolas" w:hAnsi="Consolas"/>
                <w:sz w:val="16"/>
              </w:rPr>
              <w:t># ============================================================</w:t>
              <w:br/>
            </w:r>
            <w:r>
              <w:rPr>
                <w:rFonts w:ascii="Consolas" w:hAnsi="Consolas"/>
                <w:sz w:val="16"/>
              </w:rPr>
              <w:t># WEEK 1: Titanic - Data Preparation and Exploratory Analysis</w:t>
              <w:br/>
            </w:r>
            <w:r>
              <w:rPr>
                <w:rFonts w:ascii="Consolas" w:hAnsi="Consolas"/>
                <w:sz w:val="16"/>
              </w:rPr>
              <w:t># ============================================================</w:t>
              <w:br/>
            </w:r>
            <w:r>
              <w:rPr>
                <w:rFonts w:ascii="Consolas" w:hAnsi="Consolas"/>
                <w:sz w:val="16"/>
              </w:rPr>
              <w:t># Public Titanic CSV</w:t>
              <w:br/>
            </w:r>
            <w:r>
              <w:rPr>
                <w:rFonts w:ascii="Consolas" w:hAnsi="Consolas"/>
                <w:sz w:val="16"/>
              </w:rPr>
              <w:t>titanic &lt;- read.csv("titanic.csv", stringsAsFactors = FALSE)</w:t>
              <w:br/>
            </w:r>
            <w:r>
              <w:rPr>
                <w:rFonts w:ascii="Consolas" w:hAnsi="Consolas"/>
                <w:sz w:val="16"/>
              </w:rPr>
              <w:br/>
            </w:r>
            <w:r>
              <w:rPr>
                <w:rFonts w:ascii="Consolas" w:hAnsi="Consolas"/>
                <w:sz w:val="16"/>
              </w:rPr>
              <w:t># Missing-value profile</w:t>
              <w:br/>
            </w:r>
            <w:r>
              <w:rPr>
                <w:rFonts w:ascii="Consolas" w:hAnsi="Consolas"/>
                <w:sz w:val="16"/>
              </w:rPr>
              <w:t>colSums(is.na(titanic))</w:t>
              <w:br/>
            </w:r>
            <w:r>
              <w:rPr>
                <w:rFonts w:ascii="Consolas" w:hAnsi="Consolas"/>
                <w:sz w:val="16"/>
              </w:rPr>
              <w:br/>
            </w:r>
            <w:r>
              <w:rPr>
                <w:rFonts w:ascii="Consolas" w:hAnsi="Consolas"/>
                <w:sz w:val="16"/>
              </w:rPr>
              <w:t># Remove exact duplicate rows</w:t>
              <w:br/>
            </w:r>
            <w:r>
              <w:rPr>
                <w:rFonts w:ascii="Consolas" w:hAnsi="Consolas"/>
                <w:sz w:val="16"/>
              </w:rPr>
              <w:t>titanic &lt;- distinct(titanic)</w:t>
              <w:br/>
            </w:r>
            <w:r>
              <w:rPr>
                <w:rFonts w:ascii="Consolas" w:hAnsi="Consolas"/>
                <w:sz w:val="16"/>
              </w:rPr>
              <w:br/>
            </w:r>
            <w:r>
              <w:rPr>
                <w:rFonts w:ascii="Consolas" w:hAnsi="Consolas"/>
                <w:sz w:val="16"/>
              </w:rPr>
              <w:t># Basic cleaning / imputation example</w:t>
              <w:br/>
            </w:r>
            <w:r>
              <w:rPr>
                <w:rFonts w:ascii="Consolas" w:hAnsi="Consolas"/>
                <w:sz w:val="16"/>
              </w:rPr>
              <w:t>titanic$Age[is.na(titanic$Age)] &lt;- median(titanic$Age, na.rm = TRUE)</w:t>
              <w:br/>
            </w:r>
            <w:r>
              <w:rPr>
                <w:rFonts w:ascii="Consolas" w:hAnsi="Consolas"/>
                <w:sz w:val="16"/>
              </w:rPr>
              <w:t>titanic$Embarked[is.na(titanic$Embarked) | titanic$Embarked == ""] &lt;-</w:t>
              <w:br/>
            </w:r>
            <w:r>
              <w:rPr>
                <w:rFonts w:ascii="Consolas" w:hAnsi="Consolas"/>
                <w:sz w:val="16"/>
              </w:rPr>
              <w:t xml:space="preserve">  names(sort(table(titanic$Embarked), decreasing = TRUE))[1]</w:t>
              <w:br/>
            </w:r>
            <w:r>
              <w:rPr>
                <w:rFonts w:ascii="Consolas" w:hAnsi="Consolas"/>
                <w:sz w:val="16"/>
              </w:rPr>
              <w:br/>
            </w:r>
            <w:r>
              <w:rPr>
                <w:rFonts w:ascii="Consolas" w:hAnsi="Consolas"/>
                <w:sz w:val="16"/>
              </w:rPr>
              <w:t># Descriptive statistics</w:t>
              <w:br/>
            </w:r>
            <w:r>
              <w:rPr>
                <w:rFonts w:ascii="Consolas" w:hAnsi="Consolas"/>
                <w:sz w:val="16"/>
              </w:rPr>
              <w:t>summary(titanic)</w:t>
              <w:br/>
            </w:r>
            <w:r>
              <w:rPr>
                <w:rFonts w:ascii="Consolas" w:hAnsi="Consolas"/>
                <w:sz w:val="16"/>
              </w:rPr>
              <w:br/>
            </w:r>
            <w:r>
              <w:rPr>
                <w:rFonts w:ascii="Consolas" w:hAnsi="Consolas"/>
                <w:sz w:val="16"/>
              </w:rPr>
              <w:t># Correlation among selected numeric variables</w:t>
              <w:br/>
            </w:r>
            <w:r>
              <w:rPr>
                <w:rFonts w:ascii="Consolas" w:hAnsi="Consolas"/>
                <w:sz w:val="16"/>
              </w:rPr>
              <w:t>num_vars &lt;- titanic %&gt;% select(where(is.numeric))</w:t>
              <w:br/>
            </w:r>
            <w:r>
              <w:rPr>
                <w:rFonts w:ascii="Consolas" w:hAnsi="Consolas"/>
                <w:sz w:val="16"/>
              </w:rPr>
              <w:t>cor(num_vars, use = "pairwise.complete.obs")</w:t>
              <w:br/>
            </w:r>
            <w:r>
              <w:rPr>
                <w:rFonts w:ascii="Consolas" w:hAnsi="Consolas"/>
                <w:sz w:val="16"/>
              </w:rPr>
              <w:br/>
            </w:r>
            <w:r>
              <w:rPr>
                <w:rFonts w:ascii="Consolas" w:hAnsi="Consolas"/>
                <w:sz w:val="16"/>
              </w:rPr>
              <w:t># IQR outlier rule for Fare</w:t>
              <w:br/>
            </w:r>
            <w:r>
              <w:rPr>
                <w:rFonts w:ascii="Consolas" w:hAnsi="Consolas"/>
                <w:sz w:val="16"/>
              </w:rPr>
              <w:t>Q1 &lt;- quantile(titanic$Fare, .25, na.rm = TRUE)</w:t>
              <w:br/>
            </w:r>
            <w:r>
              <w:rPr>
                <w:rFonts w:ascii="Consolas" w:hAnsi="Consolas"/>
                <w:sz w:val="16"/>
              </w:rPr>
              <w:t>Q3 &lt;- quantile(titanic$Fare, .75, na.rm = TRUE)</w:t>
              <w:br/>
            </w:r>
            <w:r>
              <w:rPr>
                <w:rFonts w:ascii="Consolas" w:hAnsi="Consolas"/>
                <w:sz w:val="16"/>
              </w:rPr>
              <w:t>IQR_value &lt;- IQR(titanic$Fare, na.rm = TRUE)</w:t>
              <w:br/>
            </w:r>
            <w:r>
              <w:rPr>
                <w:rFonts w:ascii="Consolas" w:hAnsi="Consolas"/>
                <w:sz w:val="16"/>
              </w:rPr>
              <w:t>fare_outliers &lt;- titanic %&gt;%</w:t>
              <w:br/>
            </w:r>
            <w:r>
              <w:rPr>
                <w:rFonts w:ascii="Consolas" w:hAnsi="Consolas"/>
                <w:sz w:val="16"/>
              </w:rPr>
              <w:t xml:space="preserve">  filter(Fare &lt; Q1 - 1.5*IQR_value | Fare &gt; Q3 + 1.5*IQR_value)</w:t>
              <w:br/>
            </w:r>
            <w:r>
              <w:rPr>
                <w:rFonts w:ascii="Consolas" w:hAnsi="Consolas"/>
                <w:sz w:val="16"/>
              </w:rPr>
              <w:br/>
            </w:r>
            <w:r>
              <w:rPr>
                <w:rFonts w:ascii="Consolas" w:hAnsi="Consolas"/>
                <w:sz w:val="16"/>
              </w:rPr>
              <w:t># ============================================================</w:t>
              <w:br/>
            </w:r>
            <w:r>
              <w:rPr>
                <w:rFonts w:ascii="Consolas" w:hAnsi="Consolas"/>
                <w:sz w:val="16"/>
              </w:rPr>
              <w:t># WEEK 2: Diamonds - Visualization and Insight Communication</w:t>
              <w:br/>
            </w:r>
            <w:r>
              <w:rPr>
                <w:rFonts w:ascii="Consolas" w:hAnsi="Consolas"/>
                <w:sz w:val="16"/>
              </w:rPr>
              <w:t># ============================================================</w:t>
              <w:br/>
            </w:r>
            <w:r>
              <w:rPr>
                <w:rFonts w:ascii="Consolas" w:hAnsi="Consolas"/>
                <w:sz w:val="16"/>
              </w:rPr>
              <w:t>data("diamonds", package = "ggplot2")</w:t>
              <w:br/>
            </w:r>
            <w:r>
              <w:rPr>
                <w:rFonts w:ascii="Consolas" w:hAnsi="Consolas"/>
                <w:sz w:val="16"/>
              </w:rPr>
              <w:br/>
            </w:r>
            <w:r>
              <w:rPr>
                <w:rFonts w:ascii="Consolas" w:hAnsi="Consolas"/>
                <w:sz w:val="16"/>
              </w:rPr>
              <w:t># Distribution</w:t>
              <w:br/>
            </w:r>
            <w:r>
              <w:rPr>
                <w:rFonts w:ascii="Consolas" w:hAnsi="Consolas"/>
                <w:sz w:val="16"/>
              </w:rPr>
              <w:t>ggplot(diamonds, aes(price)) +</w:t>
              <w:br/>
            </w:r>
            <w:r>
              <w:rPr>
                <w:rFonts w:ascii="Consolas" w:hAnsi="Consolas"/>
                <w:sz w:val="16"/>
              </w:rPr>
              <w:t xml:space="preserve">  geom_histogram(bins = 40, fill = "#2F6BFF", color = "white") +</w:t>
              <w:br/>
            </w:r>
            <w:r>
              <w:rPr>
                <w:rFonts w:ascii="Consolas" w:hAnsi="Consolas"/>
                <w:sz w:val="16"/>
              </w:rPr>
              <w:t xml:space="preserve">  scale_x_continuous(labels = comma) +</w:t>
              <w:br/>
            </w:r>
            <w:r>
              <w:rPr>
                <w:rFonts w:ascii="Consolas" w:hAnsi="Consolas"/>
                <w:sz w:val="16"/>
              </w:rPr>
              <w:t xml:space="preserve">  theme_minimal()</w:t>
              <w:br/>
            </w:r>
            <w:r>
              <w:rPr>
                <w:rFonts w:ascii="Consolas" w:hAnsi="Consolas"/>
                <w:sz w:val="16"/>
              </w:rPr>
              <w:br/>
            </w:r>
            <w:r>
              <w:rPr>
                <w:rFonts w:ascii="Consolas" w:hAnsi="Consolas"/>
                <w:sz w:val="16"/>
              </w:rPr>
              <w:t># Relationship</w:t>
              <w:br/>
            </w:r>
            <w:r>
              <w:rPr>
                <w:rFonts w:ascii="Consolas" w:hAnsi="Consolas"/>
                <w:sz w:val="16"/>
              </w:rPr>
              <w:t>ggplot(diamonds, aes(carat, price, color = cut)) +</w:t>
              <w:br/>
            </w:r>
            <w:r>
              <w:rPr>
                <w:rFonts w:ascii="Consolas" w:hAnsi="Consolas"/>
                <w:sz w:val="16"/>
              </w:rPr>
              <w:t xml:space="preserve">  geom_point(alpha = .25, size = 1) +</w:t>
              <w:br/>
            </w:r>
            <w:r>
              <w:rPr>
                <w:rFonts w:ascii="Consolas" w:hAnsi="Consolas"/>
                <w:sz w:val="16"/>
              </w:rPr>
              <w:t xml:space="preserve">  scale_y_continuous(labels = comma) +</w:t>
              <w:br/>
            </w:r>
            <w:r>
              <w:rPr>
                <w:rFonts w:ascii="Consolas" w:hAnsi="Consolas"/>
                <w:sz w:val="16"/>
              </w:rPr>
              <w:t xml:space="preserve">  theme_minimal()</w:t>
              <w:br/>
            </w:r>
            <w:r>
              <w:rPr>
                <w:rFonts w:ascii="Consolas" w:hAnsi="Consolas"/>
                <w:sz w:val="16"/>
              </w:rPr>
              <w:br/>
            </w:r>
            <w:r>
              <w:rPr>
                <w:rFonts w:ascii="Consolas" w:hAnsi="Consolas"/>
                <w:sz w:val="16"/>
              </w:rPr>
              <w:t># Category comparison</w:t>
              <w:br/>
            </w:r>
            <w:r>
              <w:rPr>
                <w:rFonts w:ascii="Consolas" w:hAnsi="Consolas"/>
                <w:sz w:val="16"/>
              </w:rPr>
              <w:t>cut_summary &lt;- diamonds %&gt;%</w:t>
              <w:br/>
            </w:r>
            <w:r>
              <w:rPr>
                <w:rFonts w:ascii="Consolas" w:hAnsi="Consolas"/>
                <w:sz w:val="16"/>
              </w:rPr>
              <w:t xml:space="preserve">  group_by(cut) %&gt;%</w:t>
              <w:br/>
            </w:r>
            <w:r>
              <w:rPr>
                <w:rFonts w:ascii="Consolas" w:hAnsi="Consolas"/>
                <w:sz w:val="16"/>
              </w:rPr>
              <w:t xml:space="preserve">  summarise(avg_price = mean(price), .groups = "drop")</w:t>
              <w:br/>
            </w:r>
            <w:r>
              <w:rPr>
                <w:rFonts w:ascii="Consolas" w:hAnsi="Consolas"/>
                <w:sz w:val="16"/>
              </w:rPr>
              <w:br/>
            </w:r>
            <w:r>
              <w:rPr>
                <w:rFonts w:ascii="Consolas" w:hAnsi="Consolas"/>
                <w:sz w:val="16"/>
              </w:rPr>
              <w:t>ggplot(cut_summary, aes(reorder(cut, avg_price), avg_price)) +</w:t>
              <w:br/>
            </w:r>
            <w:r>
              <w:rPr>
                <w:rFonts w:ascii="Consolas" w:hAnsi="Consolas"/>
                <w:sz w:val="16"/>
              </w:rPr>
              <w:t xml:space="preserve">  geom_col(fill = "#FF7A00") +</w:t>
              <w:br/>
            </w:r>
            <w:r>
              <w:rPr>
                <w:rFonts w:ascii="Consolas" w:hAnsi="Consolas"/>
                <w:sz w:val="16"/>
              </w:rPr>
              <w:t xml:space="preserve">  coord_flip() +</w:t>
              <w:br/>
            </w:r>
            <w:r>
              <w:rPr>
                <w:rFonts w:ascii="Consolas" w:hAnsi="Consolas"/>
                <w:sz w:val="16"/>
              </w:rPr>
              <w:t xml:space="preserve">  scale_y_continuous(labels = comma) +</w:t>
              <w:br/>
            </w:r>
            <w:r>
              <w:rPr>
                <w:rFonts w:ascii="Consolas" w:hAnsi="Consolas"/>
                <w:sz w:val="16"/>
              </w:rPr>
              <w:t xml:space="preserve">  theme_minimal()</w:t>
              <w:br/>
            </w:r>
            <w:r>
              <w:rPr>
                <w:rFonts w:ascii="Consolas" w:hAnsi="Consolas"/>
                <w:sz w:val="16"/>
              </w:rPr>
              <w:br/>
            </w:r>
            <w:r>
              <w:rPr>
                <w:rFonts w:ascii="Consolas" w:hAnsi="Consolas"/>
                <w:sz w:val="16"/>
              </w:rPr>
              <w:t># Spread</w:t>
              <w:br/>
            </w:r>
            <w:r>
              <w:rPr>
                <w:rFonts w:ascii="Consolas" w:hAnsi="Consolas"/>
                <w:sz w:val="16"/>
              </w:rPr>
              <w:t>ggplot(diamonds, aes(clarity, price)) +</w:t>
              <w:br/>
            </w:r>
            <w:r>
              <w:rPr>
                <w:rFonts w:ascii="Consolas" w:hAnsi="Consolas"/>
                <w:sz w:val="16"/>
              </w:rPr>
              <w:t xml:space="preserve">  geom_boxplot(alpha = .75) +</w:t>
              <w:br/>
            </w:r>
            <w:r>
              <w:rPr>
                <w:rFonts w:ascii="Consolas" w:hAnsi="Consolas"/>
                <w:sz w:val="16"/>
              </w:rPr>
              <w:t xml:space="preserve">  scale_y_continuous(labels = comma) +</w:t>
              <w:br/>
            </w:r>
            <w:r>
              <w:rPr>
                <w:rFonts w:ascii="Consolas" w:hAnsi="Consolas"/>
                <w:sz w:val="16"/>
              </w:rPr>
              <w:t xml:space="preserve">  theme_minimal()</w:t>
              <w:br/>
            </w:r>
            <w:r>
              <w:rPr>
                <w:rFonts w:ascii="Consolas" w:hAnsi="Consolas"/>
                <w:sz w:val="16"/>
              </w:rPr>
              <w:br/>
            </w:r>
            <w:r>
              <w:rPr>
                <w:rFonts w:ascii="Consolas" w:hAnsi="Consolas"/>
                <w:sz w:val="16"/>
              </w:rPr>
              <w:t># Trend</w:t>
              <w:br/>
            </w:r>
            <w:r>
              <w:rPr>
                <w:rFonts w:ascii="Consolas" w:hAnsi="Consolas"/>
                <w:sz w:val="16"/>
              </w:rPr>
              <w:t>trend &lt;- diamonds %&gt;%</w:t>
              <w:br/>
            </w:r>
            <w:r>
              <w:rPr>
                <w:rFonts w:ascii="Consolas" w:hAnsi="Consolas"/>
                <w:sz w:val="16"/>
              </w:rPr>
              <w:t xml:space="preserve">  mutate(carat_range = cut(carat, breaks = seq(0, 5, .25),</w:t>
              <w:br/>
            </w:r>
            <w:r>
              <w:rPr>
                <w:rFonts w:ascii="Consolas" w:hAnsi="Consolas"/>
                <w:sz w:val="16"/>
              </w:rPr>
              <w:t xml:space="preserve">                           include.lowest = TRUE)) %&gt;%</w:t>
              <w:br/>
            </w:r>
            <w:r>
              <w:rPr>
                <w:rFonts w:ascii="Consolas" w:hAnsi="Consolas"/>
                <w:sz w:val="16"/>
              </w:rPr>
              <w:t xml:space="preserve">  group_by(carat_range) %&gt;%</w:t>
              <w:br/>
            </w:r>
            <w:r>
              <w:rPr>
                <w:rFonts w:ascii="Consolas" w:hAnsi="Consolas"/>
                <w:sz w:val="16"/>
              </w:rPr>
              <w:t xml:space="preserve">  summarise(avg_price = mean(price), .groups = "drop") %&gt;%</w:t>
              <w:br/>
            </w:r>
            <w:r>
              <w:rPr>
                <w:rFonts w:ascii="Consolas" w:hAnsi="Consolas"/>
                <w:sz w:val="16"/>
              </w:rPr>
              <w:t xml:space="preserve">  filter(!is.na(avg_price))</w:t>
              <w:br/>
            </w:r>
            <w:r>
              <w:rPr>
                <w:rFonts w:ascii="Consolas" w:hAnsi="Consolas"/>
                <w:sz w:val="16"/>
              </w:rPr>
              <w:br/>
            </w:r>
            <w:r>
              <w:rPr>
                <w:rFonts w:ascii="Consolas" w:hAnsi="Consolas"/>
                <w:sz w:val="16"/>
              </w:rPr>
              <w:t>ggplot(trend, aes(carat_range, avg_price, group = 1)) +</w:t>
              <w:br/>
            </w:r>
            <w:r>
              <w:rPr>
                <w:rFonts w:ascii="Consolas" w:hAnsi="Consolas"/>
                <w:sz w:val="16"/>
              </w:rPr>
              <w:t xml:space="preserve">  geom_line(linewidth = 1) +</w:t>
              <w:br/>
            </w:r>
            <w:r>
              <w:rPr>
                <w:rFonts w:ascii="Consolas" w:hAnsi="Consolas"/>
                <w:sz w:val="16"/>
              </w:rPr>
              <w:t xml:space="preserve">  geom_point() +</w:t>
              <w:br/>
            </w:r>
            <w:r>
              <w:rPr>
                <w:rFonts w:ascii="Consolas" w:hAnsi="Consolas"/>
                <w:sz w:val="16"/>
              </w:rPr>
              <w:t xml:space="preserve">  theme_minimal() +</w:t>
              <w:br/>
            </w:r>
            <w:r>
              <w:rPr>
                <w:rFonts w:ascii="Consolas" w:hAnsi="Consolas"/>
                <w:sz w:val="16"/>
              </w:rPr>
              <w:t xml:space="preserve">  theme(axis.text.x = element_text(angle = 45, hjust = 1))</w:t>
              <w:br/>
            </w:r>
            <w:r>
              <w:rPr>
                <w:rFonts w:ascii="Consolas" w:hAnsi="Consolas"/>
                <w:sz w:val="16"/>
              </w:rPr>
              <w:br/>
            </w:r>
            <w:r>
              <w:rPr>
                <w:rFonts w:ascii="Consolas" w:hAnsi="Consolas"/>
                <w:sz w:val="16"/>
              </w:rPr>
              <w:t># ============================================================</w:t>
              <w:br/>
            </w:r>
            <w:r>
              <w:rPr>
                <w:rFonts w:ascii="Consolas" w:hAnsi="Consolas"/>
                <w:sz w:val="16"/>
              </w:rPr>
              <w:t># WEEK 3: Iris - Statistical Analysis and Predictive Modeling</w:t>
              <w:br/>
            </w:r>
            <w:r>
              <w:rPr>
                <w:rFonts w:ascii="Consolas" w:hAnsi="Consolas"/>
                <w:sz w:val="16"/>
              </w:rPr>
              <w:t># ============================================================</w:t>
              <w:br/>
            </w:r>
            <w:r>
              <w:rPr>
                <w:rFonts w:ascii="Consolas" w:hAnsi="Consolas"/>
                <w:sz w:val="16"/>
              </w:rPr>
              <w:t>data(iris)</w:t>
              <w:br/>
            </w:r>
            <w:r>
              <w:rPr>
                <w:rFonts w:ascii="Consolas" w:hAnsi="Consolas"/>
                <w:sz w:val="16"/>
              </w:rPr>
              <w:br/>
            </w:r>
            <w:r>
              <w:rPr>
                <w:rFonts w:ascii="Consolas" w:hAnsi="Consolas"/>
                <w:sz w:val="16"/>
              </w:rPr>
              <w:t># Hypothesis testing</w:t>
              <w:br/>
            </w:r>
            <w:r>
              <w:rPr>
                <w:rFonts w:ascii="Consolas" w:hAnsi="Consolas"/>
                <w:sz w:val="16"/>
              </w:rPr>
              <w:t>t_test &lt;- t.test(Sepal.Length ~ Species, data = iris %&gt;%</w:t>
              <w:br/>
            </w:r>
            <w:r>
              <w:rPr>
                <w:rFonts w:ascii="Consolas" w:hAnsi="Consolas"/>
                <w:sz w:val="16"/>
              </w:rPr>
              <w:t xml:space="preserve">                    filter(Species %in% c("setosa", "versicolor")))</w:t>
              <w:br/>
            </w:r>
            <w:r>
              <w:rPr>
                <w:rFonts w:ascii="Consolas" w:hAnsi="Consolas"/>
                <w:sz w:val="16"/>
              </w:rPr>
              <w:t>print(t_test)</w:t>
              <w:br/>
            </w:r>
            <w:r>
              <w:rPr>
                <w:rFonts w:ascii="Consolas" w:hAnsi="Consolas"/>
                <w:sz w:val="16"/>
              </w:rPr>
              <w:br/>
            </w:r>
            <w:r>
              <w:rPr>
                <w:rFonts w:ascii="Consolas" w:hAnsi="Consolas"/>
                <w:sz w:val="16"/>
              </w:rPr>
              <w:t># Correlation</w:t>
              <w:br/>
            </w:r>
            <w:r>
              <w:rPr>
                <w:rFonts w:ascii="Consolas" w:hAnsi="Consolas"/>
                <w:sz w:val="16"/>
              </w:rPr>
              <w:t>cor_test &lt;- cor.test(iris$Sepal.Length, iris$Petal.Length)</w:t>
              <w:br/>
            </w:r>
            <w:r>
              <w:rPr>
                <w:rFonts w:ascii="Consolas" w:hAnsi="Consolas"/>
                <w:sz w:val="16"/>
              </w:rPr>
              <w:t>print(cor_test)</w:t>
              <w:br/>
            </w:r>
            <w:r>
              <w:rPr>
                <w:rFonts w:ascii="Consolas" w:hAnsi="Consolas"/>
                <w:sz w:val="16"/>
              </w:rPr>
              <w:br/>
            </w:r>
            <w:r>
              <w:rPr>
                <w:rFonts w:ascii="Consolas" w:hAnsi="Consolas"/>
                <w:sz w:val="16"/>
              </w:rPr>
              <w:t># Normality check</w:t>
              <w:br/>
            </w:r>
            <w:r>
              <w:rPr>
                <w:rFonts w:ascii="Consolas" w:hAnsi="Consolas"/>
                <w:sz w:val="16"/>
              </w:rPr>
              <w:t>shapiro_test &lt;- shapiro.test(iris$Sepal.Length)</w:t>
              <w:br/>
            </w:r>
            <w:r>
              <w:rPr>
                <w:rFonts w:ascii="Consolas" w:hAnsi="Consolas"/>
                <w:sz w:val="16"/>
              </w:rPr>
              <w:t>print(shapiro_test)</w:t>
              <w:br/>
            </w:r>
            <w:r>
              <w:rPr>
                <w:rFonts w:ascii="Consolas" w:hAnsi="Consolas"/>
                <w:sz w:val="16"/>
              </w:rPr>
              <w:br/>
            </w:r>
            <w:r>
              <w:rPr>
                <w:rFonts w:ascii="Consolas" w:hAnsi="Consolas"/>
                <w:sz w:val="16"/>
              </w:rPr>
              <w:t># Binary classification: setosa vs non-setosa</w:t>
              <w:br/>
            </w:r>
            <w:r>
              <w:rPr>
                <w:rFonts w:ascii="Consolas" w:hAnsi="Consolas"/>
                <w:sz w:val="16"/>
              </w:rPr>
              <w:t>model_data &lt;- iris %&gt;%</w:t>
              <w:br/>
            </w:r>
            <w:r>
              <w:rPr>
                <w:rFonts w:ascii="Consolas" w:hAnsi="Consolas"/>
                <w:sz w:val="16"/>
              </w:rPr>
              <w:t xml:space="preserve">  mutate(target = ifelse(Species == "setosa", 1, 0)) %&gt;%</w:t>
              <w:br/>
            </w:r>
            <w:r>
              <w:rPr>
                <w:rFonts w:ascii="Consolas" w:hAnsi="Consolas"/>
                <w:sz w:val="16"/>
              </w:rPr>
              <w:t xml:space="preserve">  select(Sepal.Length, Sepal.Width, Petal.Length, Petal.Width, target)</w:t>
              <w:br/>
            </w:r>
            <w:r>
              <w:rPr>
                <w:rFonts w:ascii="Consolas" w:hAnsi="Consolas"/>
                <w:sz w:val="16"/>
              </w:rPr>
              <w:br/>
            </w:r>
            <w:r>
              <w:rPr>
                <w:rFonts w:ascii="Consolas" w:hAnsi="Consolas"/>
                <w:sz w:val="16"/>
              </w:rPr>
              <w:t>set.seed(42)</w:t>
              <w:br/>
            </w:r>
            <w:r>
              <w:rPr>
                <w:rFonts w:ascii="Consolas" w:hAnsi="Consolas"/>
                <w:sz w:val="16"/>
              </w:rPr>
              <w:t>train_idx &lt;- createDataPartition(model_data$target, p = .80, list = FALSE)</w:t>
              <w:br/>
            </w:r>
            <w:r>
              <w:rPr>
                <w:rFonts w:ascii="Consolas" w:hAnsi="Consolas"/>
                <w:sz w:val="16"/>
              </w:rPr>
              <w:t>train &lt;- model_data[train_idx, ]</w:t>
              <w:br/>
            </w:r>
            <w:r>
              <w:rPr>
                <w:rFonts w:ascii="Consolas" w:hAnsi="Consolas"/>
                <w:sz w:val="16"/>
              </w:rPr>
              <w:t>test &lt;- model_data[-train_idx, ]</w:t>
              <w:br/>
            </w:r>
            <w:r>
              <w:rPr>
                <w:rFonts w:ascii="Consolas" w:hAnsi="Consolas"/>
                <w:sz w:val="16"/>
              </w:rPr>
              <w:br/>
            </w:r>
            <w:r>
              <w:rPr>
                <w:rFonts w:ascii="Consolas" w:hAnsi="Consolas"/>
                <w:sz w:val="16"/>
              </w:rPr>
              <w:t>model &lt;- glm(target ~ Sepal.Length + Sepal.Width + Petal.Length + Petal.Width,</w:t>
              <w:br/>
            </w:r>
            <w:r>
              <w:rPr>
                <w:rFonts w:ascii="Consolas" w:hAnsi="Consolas"/>
                <w:sz w:val="16"/>
              </w:rPr>
              <w:t xml:space="preserve">             data = train, family = binomial())</w:t>
              <w:br/>
            </w:r>
            <w:r>
              <w:rPr>
                <w:rFonts w:ascii="Consolas" w:hAnsi="Consolas"/>
                <w:sz w:val="16"/>
              </w:rPr>
              <w:br/>
            </w:r>
            <w:r>
              <w:rPr>
                <w:rFonts w:ascii="Consolas" w:hAnsi="Consolas"/>
                <w:sz w:val="16"/>
              </w:rPr>
              <w:t>prob &lt;- predict(model, newdata = test, type = "response")</w:t>
              <w:br/>
            </w:r>
            <w:r>
              <w:rPr>
                <w:rFonts w:ascii="Consolas" w:hAnsi="Consolas"/>
                <w:sz w:val="16"/>
              </w:rPr>
              <w:t>pred &lt;- ifelse(prob &gt;= .5, 1, 0)</w:t>
              <w:br/>
            </w:r>
            <w:r>
              <w:rPr>
                <w:rFonts w:ascii="Consolas" w:hAnsi="Consolas"/>
                <w:sz w:val="16"/>
              </w:rPr>
              <w:br/>
            </w:r>
            <w:r>
              <w:rPr>
                <w:rFonts w:ascii="Consolas" w:hAnsi="Consolas"/>
                <w:sz w:val="16"/>
              </w:rPr>
              <w:t>cm &lt;- confusionMatrix(</w:t>
              <w:br/>
            </w:r>
            <w:r>
              <w:rPr>
                <w:rFonts w:ascii="Consolas" w:hAnsi="Consolas"/>
                <w:sz w:val="16"/>
              </w:rPr>
              <w:t xml:space="preserve">  factor(pred, levels = c(0,1)),</w:t>
              <w:br/>
            </w:r>
            <w:r>
              <w:rPr>
                <w:rFonts w:ascii="Consolas" w:hAnsi="Consolas"/>
                <w:sz w:val="16"/>
              </w:rPr>
              <w:t xml:space="preserve">  factor(test$target, levels = c(0,1)),</w:t>
              <w:br/>
            </w:r>
            <w:r>
              <w:rPr>
                <w:rFonts w:ascii="Consolas" w:hAnsi="Consolas"/>
                <w:sz w:val="16"/>
              </w:rPr>
              <w:t xml:space="preserve">  positive = "1"</w:t>
              <w:br/>
            </w:r>
            <w:r>
              <w:rPr>
                <w:rFonts w:ascii="Consolas" w:hAnsi="Consolas"/>
                <w:sz w:val="16"/>
              </w:rPr>
              <w:t>)</w:t>
              <w:br/>
            </w:r>
            <w:r>
              <w:rPr>
                <w:rFonts w:ascii="Consolas" w:hAnsi="Consolas"/>
                <w:sz w:val="16"/>
              </w:rPr>
              <w:t>print(cm)</w:t>
              <w:br/>
            </w:r>
            <w:r>
              <w:rPr>
                <w:rFonts w:ascii="Consolas" w:hAnsi="Consolas"/>
                <w:sz w:val="16"/>
              </w:rPr>
              <w:br/>
            </w:r>
            <w:r>
              <w:rPr>
                <w:rFonts w:ascii="Consolas" w:hAnsi="Consolas"/>
                <w:sz w:val="16"/>
              </w:rPr>
              <w:t>roc_obj &lt;- roc(test$target, prob)</w:t>
              <w:br/>
            </w:r>
            <w:r>
              <w:rPr>
                <w:rFonts w:ascii="Consolas" w:hAnsi="Consolas"/>
                <w:sz w:val="16"/>
              </w:rPr>
              <w:t>print(auc(roc_obj))</w:t>
              <w:br/>
            </w:r>
            <w:r>
              <w:rPr>
                <w:rFonts w:ascii="Consolas" w:hAnsi="Consolas"/>
                <w:sz w:val="16"/>
              </w:rPr>
              <w:br/>
            </w:r>
            <w:r>
              <w:rPr>
                <w:rFonts w:ascii="Consolas" w:hAnsi="Consolas"/>
                <w:sz w:val="16"/>
              </w:rPr>
              <w:t># 5-fold cross-validation</w:t>
              <w:br/>
            </w:r>
            <w:r>
              <w:rPr>
                <w:rFonts w:ascii="Consolas" w:hAnsi="Consolas"/>
                <w:sz w:val="16"/>
              </w:rPr>
              <w:t>ctrl &lt;- trainControl(method = "cv", number = 5,</w:t>
              <w:br/>
            </w:r>
            <w:r>
              <w:rPr>
                <w:rFonts w:ascii="Consolas" w:hAnsi="Consolas"/>
                <w:sz w:val="16"/>
              </w:rPr>
              <w:t xml:space="preserve">                     classProbs = TRUE,</w:t>
              <w:br/>
            </w:r>
            <w:r>
              <w:rPr>
                <w:rFonts w:ascii="Consolas" w:hAnsi="Consolas"/>
                <w:sz w:val="16"/>
              </w:rPr>
              <w:t xml:space="preserve">                     summaryFunction = twoClassSummary)</w:t>
              <w:br/>
            </w:r>
            <w:r>
              <w:rPr>
                <w:rFonts w:ascii="Consolas" w:hAnsi="Consolas"/>
                <w:sz w:val="16"/>
              </w:rPr>
              <w:br/>
            </w:r>
            <w:r>
              <w:rPr>
                <w:rFonts w:ascii="Consolas" w:hAnsi="Consolas"/>
                <w:sz w:val="16"/>
              </w:rPr>
              <w:t>cv_data &lt;- iris %&gt;%</w:t>
              <w:br/>
            </w:r>
            <w:r>
              <w:rPr>
                <w:rFonts w:ascii="Consolas" w:hAnsi="Consolas"/>
                <w:sz w:val="16"/>
              </w:rPr>
              <w:t xml:space="preserve">  mutate(target = factor(ifelse(Species == "setosa", "setosa", "other"),</w:t>
              <w:br/>
            </w:r>
            <w:r>
              <w:rPr>
                <w:rFonts w:ascii="Consolas" w:hAnsi="Consolas"/>
                <w:sz w:val="16"/>
              </w:rPr>
              <w:t xml:space="preserve">                         levels = c("setosa", "other"))) %&gt;%</w:t>
              <w:br/>
            </w:r>
            <w:r>
              <w:rPr>
                <w:rFonts w:ascii="Consolas" w:hAnsi="Consolas"/>
                <w:sz w:val="16"/>
              </w:rPr>
              <w:t xml:space="preserve">  select(Sepal.Length, Sepal.Width, Petal.Length, Petal.Width, target)</w:t>
              <w:br/>
            </w:r>
            <w:r>
              <w:rPr>
                <w:rFonts w:ascii="Consolas" w:hAnsi="Consolas"/>
                <w:sz w:val="16"/>
              </w:rPr>
              <w:br/>
            </w:r>
            <w:r>
              <w:rPr>
                <w:rFonts w:ascii="Consolas" w:hAnsi="Consolas"/>
                <w:sz w:val="16"/>
              </w:rPr>
              <w:t>set.seed(42)</w:t>
              <w:br/>
            </w:r>
            <w:r>
              <w:rPr>
                <w:rFonts w:ascii="Consolas" w:hAnsi="Consolas"/>
                <w:sz w:val="16"/>
              </w:rPr>
              <w:t>cv_model &lt;- train(target ~ ., data = cv_data,</w:t>
              <w:br/>
            </w:r>
            <w:r>
              <w:rPr>
                <w:rFonts w:ascii="Consolas" w:hAnsi="Consolas"/>
                <w:sz w:val="16"/>
              </w:rPr>
              <w:t xml:space="preserve">                  method = "glm", family = "binomial",</w:t>
              <w:br/>
            </w:r>
            <w:r>
              <w:rPr>
                <w:rFonts w:ascii="Consolas" w:hAnsi="Consolas"/>
                <w:sz w:val="16"/>
              </w:rPr>
              <w:t xml:space="preserve">                  metric = "ROC", trControl = ctrl)</w:t>
              <w:br/>
            </w:r>
            <w:r>
              <w:rPr>
                <w:rFonts w:ascii="Consolas" w:hAnsi="Consolas"/>
                <w:sz w:val="16"/>
              </w:rPr>
              <w:t>print(cv_model)</w:t>
              <w:br/>
            </w:r>
            <w:r>
              <w:rPr>
                <w:rFonts w:ascii="Consolas" w:hAnsi="Consolas"/>
                <w:sz w:val="16"/>
              </w:rPr>
              <w:br/>
            </w:r>
            <w:r>
              <w:rPr>
                <w:rFonts w:ascii="Consolas" w:hAnsi="Consolas"/>
                <w:sz w:val="16"/>
              </w:rPr>
              <w:t># ============================================================</w:t>
              <w:br/>
            </w:r>
            <w:r>
              <w:rPr>
                <w:rFonts w:ascii="Consolas" w:hAnsi="Consolas"/>
                <w:sz w:val="16"/>
              </w:rPr>
              <w:t># WEEK 4: Reporting</w:t>
              <w:br/>
            </w:r>
            <w:r>
              <w:rPr>
                <w:rFonts w:ascii="Consolas" w:hAnsi="Consolas"/>
                <w:sz w:val="16"/>
              </w:rPr>
              <w:t># ============================================================</w:t>
              <w:br/>
            </w:r>
            <w:r>
              <w:rPr>
                <w:rFonts w:ascii="Consolas" w:hAnsi="Consolas"/>
                <w:sz w:val="16"/>
              </w:rPr>
              <w:t># Recommended workflow:</w:t>
              <w:br/>
            </w:r>
            <w:r>
              <w:rPr>
                <w:rFonts w:ascii="Consolas" w:hAnsi="Consolas"/>
                <w:sz w:val="16"/>
              </w:rPr>
              <w:t># 1. Validate data quality before analysis.</w:t>
              <w:br/>
            </w:r>
            <w:r>
              <w:rPr>
                <w:rFonts w:ascii="Consolas" w:hAnsi="Consolas"/>
                <w:sz w:val="16"/>
              </w:rPr>
              <w:t># 2. Use visualization to discover patterns.</w:t>
              <w:br/>
            </w:r>
            <w:r>
              <w:rPr>
                <w:rFonts w:ascii="Consolas" w:hAnsi="Consolas"/>
                <w:sz w:val="16"/>
              </w:rPr>
              <w:t># 3. Use statistical tests to assess evidence.</w:t>
              <w:br/>
            </w:r>
            <w:r>
              <w:rPr>
                <w:rFonts w:ascii="Consolas" w:hAnsi="Consolas"/>
                <w:sz w:val="16"/>
              </w:rPr>
              <w:t># 4. Build and validate a predictive model.</w:t>
              <w:br/>
            </w:r>
            <w:r>
              <w:rPr>
                <w:rFonts w:ascii="Consolas" w:hAnsi="Consolas"/>
                <w:sz w:val="16"/>
              </w:rPr>
              <w:t># 5. Translate results into clear, non-technical recommendations.</w:t>
            </w:r>
          </w:p>
        </w:tc>
      </w:tr>
    </w:tbl>
    <w:p/>
    <w:p>
      <w:pPr>
        <w:spacing w:before="180" w:after="100"/>
      </w:pPr>
      <w:r>
        <w:rPr>
          <w:b/>
          <w:sz w:val="32"/>
        </w:rPr>
        <w:t>12. Conclusion</w:t>
      </w:r>
    </w:p>
    <w:p>
      <w:r>
        <w:t>This final report demonstrates a complete data-analytics mindset rather than a collection of unrelated charts. The work starts by making data trustworthy, continues by discovering and communicating patterns, and then applies statistical and predictive techniques to test and operationalize those findings. The combination of R, tidyverse tools, ggplot2 and model-evaluation techniques provides a reproducible foundation for future analytics projects. The most important outcome is the ability to select an appropriate method for a question, explain the result clearly, acknowledge limitations and translate technical evidence into practical recommendations.</w:t>
      </w:r>
    </w:p>
    <w:p>
      <w:pPr>
        <w:spacing w:before="180" w:after="100"/>
      </w:pPr>
      <w:r>
        <w:rPr>
          <w:b/>
          <w:sz w:val="32"/>
        </w:rPr>
        <w:t>13. Submission Description (200+ words)</w:t>
      </w:r>
    </w:p>
    <w:p>
      <w:r>
        <w:t>This final-week project presents a comprehensive data analysis workflow developed across the previous three weeks of the R Data Analyst internship. The objective was to combine data preparation, exploratory analysis, visualization, statistical reasoning and predictive modeling into one structured report that can be understood by both technical and non-technical audiences. In Week 1, a public Titanic dataset was analyzed with a focus on data quality. Missing values, duplicate records and potential outliers were examined, followed by descriptive statistics and correlation analysis. This stage established the importance of preparing and validating data before drawing conclusions. Week 2 focused on data visualization using the ggplot2 diamonds dataset. Histogram, scatter plot, bar chart, box plot and line chart techniques were used to communicate distributions, relationships, category differences, variability and trends. Week 3 extended the work into statistical analysis and predictive modeling using the iris dataset. Hypothesis testing, correlation and normality checks were performed, followed by logistic regression for binary classification. The predictive model was evaluated using a train-test split, confusion matrix, accuracy, precision, recall, F1 score, ROC/AUC and cross-validation. The final report integrates these methods into a repeatable analytical process: prepare the data, explore it, visualize patterns, test important relationships, build a suitable model, validate performance and communicate the findings. The project also documents limitations and recommendations for future improvement. Overall, the work demonstrates how R can support an end-to-end data analytics workflow while keeping the analysis reproducible, interpretable and focused on evidence-based decision making.</w:t>
      </w:r>
    </w:p>
    <w:sectPr w:rsidR="00FC693F" w:rsidRPr="0006063C" w:rsidSect="00034616">
      <w:footerReference w:type="default" r:id="rId1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4 • Comprehensive Data Analysis Reporting • Shivam Nakoti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