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B64A" w14:textId="77777777" w:rsidR="00C94F6F" w:rsidRDefault="00000000">
      <w:pPr>
        <w:rPr>
          <w:sz w:val="40"/>
          <w:szCs w:val="40"/>
        </w:rPr>
      </w:pPr>
      <w:r>
        <w:rPr>
          <w:sz w:val="40"/>
          <w:szCs w:val="40"/>
        </w:rPr>
        <w:t>Mathematical Trading Strategies</w:t>
      </w:r>
    </w:p>
    <w:p w14:paraId="0720E6F0" w14:textId="77777777" w:rsidR="00C94F6F" w:rsidRDefault="00C94F6F">
      <w:pPr>
        <w:rPr>
          <w:sz w:val="40"/>
          <w:szCs w:val="40"/>
        </w:rPr>
      </w:pPr>
    </w:p>
    <w:p w14:paraId="1448458E" w14:textId="77777777" w:rsidR="00C94F6F" w:rsidRDefault="00000000">
      <w:pPr>
        <w:rPr>
          <w:sz w:val="32"/>
          <w:szCs w:val="32"/>
        </w:rPr>
      </w:pPr>
      <w:r>
        <w:rPr>
          <w:sz w:val="32"/>
          <w:szCs w:val="32"/>
        </w:rPr>
        <w:t>Assignment 2</w:t>
      </w:r>
    </w:p>
    <w:p w14:paraId="33A10D30" w14:textId="77777777" w:rsidR="00C94F6F" w:rsidRDefault="00C94F6F">
      <w:pPr>
        <w:rPr>
          <w:sz w:val="32"/>
          <w:szCs w:val="32"/>
        </w:rPr>
      </w:pPr>
    </w:p>
    <w:p w14:paraId="4483B18B" w14:textId="142086B8" w:rsidR="00C94F6F" w:rsidRDefault="00000000">
      <w:pPr>
        <w:rPr>
          <w:sz w:val="32"/>
          <w:szCs w:val="32"/>
        </w:rPr>
      </w:pPr>
      <w:r>
        <w:rPr>
          <w:sz w:val="32"/>
          <w:szCs w:val="32"/>
        </w:rPr>
        <w:t xml:space="preserve">Description: </w:t>
      </w:r>
      <w:r w:rsidR="00F63D3C">
        <w:rPr>
          <w:color w:val="E3E3E3"/>
          <w:shd w:val="clear" w:color="auto" w:fill="131314"/>
        </w:rPr>
        <w:t>The methodology for this assignment is to first analyze the correlation between the NASDAQ and NSE indices. This will help us to determine how strongly the two indices are related. Next, we will identify potential lead-lag relationships between the indices. This will help us to determine which index is likely to lead the other in terms of price movements. Finally, we will code the Keltner Channel, Bollinger Bands, and MACD indicators. These indicators can be used to identify trends and reversals in the price of a security. We will optimize the parameters for the indicators on one index and then generate buy and sell signals for the other index.</w:t>
      </w:r>
    </w:p>
    <w:p w14:paraId="0B3F09CD" w14:textId="77777777" w:rsidR="00C94F6F" w:rsidRDefault="00C94F6F">
      <w:pPr>
        <w:rPr>
          <w:sz w:val="32"/>
          <w:szCs w:val="32"/>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545"/>
        <w:gridCol w:w="2790"/>
        <w:gridCol w:w="3090"/>
      </w:tblGrid>
      <w:tr w:rsidR="00C94F6F" w14:paraId="46CA4A5A" w14:textId="77777777">
        <w:tc>
          <w:tcPr>
            <w:tcW w:w="1575" w:type="dxa"/>
            <w:shd w:val="clear" w:color="auto" w:fill="auto"/>
            <w:tcMar>
              <w:top w:w="100" w:type="dxa"/>
              <w:left w:w="100" w:type="dxa"/>
              <w:bottom w:w="100" w:type="dxa"/>
              <w:right w:w="100" w:type="dxa"/>
            </w:tcMar>
          </w:tcPr>
          <w:p w14:paraId="0C67AAF5" w14:textId="77777777" w:rsidR="00C94F6F" w:rsidRDefault="00C94F6F">
            <w:pPr>
              <w:widowControl w:val="0"/>
              <w:spacing w:line="240" w:lineRule="auto"/>
              <w:jc w:val="center"/>
              <w:rPr>
                <w:sz w:val="32"/>
                <w:szCs w:val="32"/>
              </w:rPr>
            </w:pPr>
          </w:p>
        </w:tc>
        <w:tc>
          <w:tcPr>
            <w:tcW w:w="1545" w:type="dxa"/>
            <w:shd w:val="clear" w:color="auto" w:fill="auto"/>
            <w:tcMar>
              <w:top w:w="100" w:type="dxa"/>
              <w:left w:w="100" w:type="dxa"/>
              <w:bottom w:w="100" w:type="dxa"/>
              <w:right w:w="100" w:type="dxa"/>
            </w:tcMar>
          </w:tcPr>
          <w:p w14:paraId="0016364D" w14:textId="77777777" w:rsidR="00C94F6F" w:rsidRDefault="00000000">
            <w:pPr>
              <w:widowControl w:val="0"/>
              <w:spacing w:line="240" w:lineRule="auto"/>
              <w:jc w:val="center"/>
              <w:rPr>
                <w:sz w:val="32"/>
                <w:szCs w:val="32"/>
              </w:rPr>
            </w:pPr>
            <w:r>
              <w:rPr>
                <w:sz w:val="32"/>
                <w:szCs w:val="32"/>
              </w:rPr>
              <w:t>MACD</w:t>
            </w:r>
          </w:p>
        </w:tc>
        <w:tc>
          <w:tcPr>
            <w:tcW w:w="2790" w:type="dxa"/>
            <w:shd w:val="clear" w:color="auto" w:fill="auto"/>
            <w:tcMar>
              <w:top w:w="100" w:type="dxa"/>
              <w:left w:w="100" w:type="dxa"/>
              <w:bottom w:w="100" w:type="dxa"/>
              <w:right w:w="100" w:type="dxa"/>
            </w:tcMar>
          </w:tcPr>
          <w:p w14:paraId="6F2DCB69" w14:textId="77777777" w:rsidR="00C94F6F" w:rsidRDefault="00000000">
            <w:pPr>
              <w:widowControl w:val="0"/>
              <w:spacing w:line="240" w:lineRule="auto"/>
              <w:jc w:val="center"/>
              <w:rPr>
                <w:sz w:val="32"/>
                <w:szCs w:val="32"/>
              </w:rPr>
            </w:pPr>
            <w:r>
              <w:rPr>
                <w:sz w:val="32"/>
                <w:szCs w:val="32"/>
              </w:rPr>
              <w:t>Bollinger Bands</w:t>
            </w:r>
          </w:p>
        </w:tc>
        <w:tc>
          <w:tcPr>
            <w:tcW w:w="3090" w:type="dxa"/>
            <w:shd w:val="clear" w:color="auto" w:fill="auto"/>
            <w:tcMar>
              <w:top w:w="100" w:type="dxa"/>
              <w:left w:w="100" w:type="dxa"/>
              <w:bottom w:w="100" w:type="dxa"/>
              <w:right w:w="100" w:type="dxa"/>
            </w:tcMar>
          </w:tcPr>
          <w:p w14:paraId="4AE17820" w14:textId="77777777" w:rsidR="00C94F6F" w:rsidRDefault="00000000">
            <w:pPr>
              <w:widowControl w:val="0"/>
              <w:spacing w:line="240" w:lineRule="auto"/>
              <w:jc w:val="center"/>
              <w:rPr>
                <w:sz w:val="32"/>
                <w:szCs w:val="32"/>
              </w:rPr>
            </w:pPr>
            <w:r>
              <w:rPr>
                <w:sz w:val="32"/>
                <w:szCs w:val="32"/>
              </w:rPr>
              <w:t>Keltner Channels</w:t>
            </w:r>
          </w:p>
        </w:tc>
      </w:tr>
      <w:tr w:rsidR="00C94F6F" w14:paraId="0E5141B9" w14:textId="77777777">
        <w:tc>
          <w:tcPr>
            <w:tcW w:w="1575" w:type="dxa"/>
            <w:shd w:val="clear" w:color="auto" w:fill="auto"/>
            <w:tcMar>
              <w:top w:w="100" w:type="dxa"/>
              <w:left w:w="100" w:type="dxa"/>
              <w:bottom w:w="100" w:type="dxa"/>
              <w:right w:w="100" w:type="dxa"/>
            </w:tcMar>
          </w:tcPr>
          <w:p w14:paraId="599339A8" w14:textId="77777777" w:rsidR="00C94F6F" w:rsidRDefault="00000000">
            <w:pPr>
              <w:widowControl w:val="0"/>
              <w:spacing w:line="240" w:lineRule="auto"/>
              <w:jc w:val="center"/>
            </w:pPr>
            <w:r>
              <w:t>Cumulative returns</w:t>
            </w:r>
          </w:p>
        </w:tc>
        <w:tc>
          <w:tcPr>
            <w:tcW w:w="1545" w:type="dxa"/>
            <w:shd w:val="clear" w:color="auto" w:fill="auto"/>
            <w:tcMar>
              <w:top w:w="100" w:type="dxa"/>
              <w:left w:w="100" w:type="dxa"/>
              <w:bottom w:w="100" w:type="dxa"/>
              <w:right w:w="100" w:type="dxa"/>
            </w:tcMar>
          </w:tcPr>
          <w:p w14:paraId="0017CF81" w14:textId="77777777" w:rsidR="00C94F6F" w:rsidRDefault="00C94F6F">
            <w:pPr>
              <w:widowControl w:val="0"/>
              <w:spacing w:line="240" w:lineRule="auto"/>
              <w:jc w:val="center"/>
              <w:rPr>
                <w:sz w:val="32"/>
                <w:szCs w:val="32"/>
              </w:rPr>
            </w:pPr>
          </w:p>
        </w:tc>
        <w:tc>
          <w:tcPr>
            <w:tcW w:w="2790" w:type="dxa"/>
            <w:shd w:val="clear" w:color="auto" w:fill="auto"/>
            <w:tcMar>
              <w:top w:w="100" w:type="dxa"/>
              <w:left w:w="100" w:type="dxa"/>
              <w:bottom w:w="100" w:type="dxa"/>
              <w:right w:w="100" w:type="dxa"/>
            </w:tcMar>
          </w:tcPr>
          <w:p w14:paraId="2C8049CD" w14:textId="77777777" w:rsidR="00C94F6F" w:rsidRDefault="00C94F6F">
            <w:pPr>
              <w:widowControl w:val="0"/>
              <w:spacing w:line="240" w:lineRule="auto"/>
              <w:jc w:val="center"/>
              <w:rPr>
                <w:sz w:val="32"/>
                <w:szCs w:val="32"/>
              </w:rPr>
            </w:pPr>
          </w:p>
        </w:tc>
        <w:tc>
          <w:tcPr>
            <w:tcW w:w="3090" w:type="dxa"/>
            <w:shd w:val="clear" w:color="auto" w:fill="auto"/>
            <w:tcMar>
              <w:top w:w="100" w:type="dxa"/>
              <w:left w:w="100" w:type="dxa"/>
              <w:bottom w:w="100" w:type="dxa"/>
              <w:right w:w="100" w:type="dxa"/>
            </w:tcMar>
          </w:tcPr>
          <w:p w14:paraId="509C1151" w14:textId="77777777" w:rsidR="00C94F6F" w:rsidRDefault="00C94F6F">
            <w:pPr>
              <w:widowControl w:val="0"/>
              <w:spacing w:line="240" w:lineRule="auto"/>
              <w:jc w:val="center"/>
              <w:rPr>
                <w:sz w:val="32"/>
                <w:szCs w:val="32"/>
              </w:rPr>
            </w:pPr>
          </w:p>
        </w:tc>
      </w:tr>
      <w:tr w:rsidR="00C94F6F" w14:paraId="3CC9D3AD" w14:textId="77777777">
        <w:tc>
          <w:tcPr>
            <w:tcW w:w="1575" w:type="dxa"/>
            <w:shd w:val="clear" w:color="auto" w:fill="auto"/>
            <w:tcMar>
              <w:top w:w="100" w:type="dxa"/>
              <w:left w:w="100" w:type="dxa"/>
              <w:bottom w:w="100" w:type="dxa"/>
              <w:right w:w="100" w:type="dxa"/>
            </w:tcMar>
          </w:tcPr>
          <w:p w14:paraId="5E52FBE5" w14:textId="77777777" w:rsidR="00C94F6F" w:rsidRDefault="00000000">
            <w:pPr>
              <w:widowControl w:val="0"/>
              <w:spacing w:line="240" w:lineRule="auto"/>
              <w:jc w:val="center"/>
            </w:pPr>
            <w:r>
              <w:t>Sharpe Ratio</w:t>
            </w:r>
          </w:p>
        </w:tc>
        <w:tc>
          <w:tcPr>
            <w:tcW w:w="1545" w:type="dxa"/>
            <w:shd w:val="clear" w:color="auto" w:fill="auto"/>
            <w:tcMar>
              <w:top w:w="100" w:type="dxa"/>
              <w:left w:w="100" w:type="dxa"/>
              <w:bottom w:w="100" w:type="dxa"/>
              <w:right w:w="100" w:type="dxa"/>
            </w:tcMar>
          </w:tcPr>
          <w:p w14:paraId="3096680B" w14:textId="77777777" w:rsidR="00C94F6F" w:rsidRDefault="00C94F6F">
            <w:pPr>
              <w:widowControl w:val="0"/>
              <w:spacing w:line="240" w:lineRule="auto"/>
              <w:jc w:val="center"/>
              <w:rPr>
                <w:sz w:val="32"/>
                <w:szCs w:val="32"/>
              </w:rPr>
            </w:pPr>
          </w:p>
        </w:tc>
        <w:tc>
          <w:tcPr>
            <w:tcW w:w="2790" w:type="dxa"/>
            <w:shd w:val="clear" w:color="auto" w:fill="auto"/>
            <w:tcMar>
              <w:top w:w="100" w:type="dxa"/>
              <w:left w:w="100" w:type="dxa"/>
              <w:bottom w:w="100" w:type="dxa"/>
              <w:right w:w="100" w:type="dxa"/>
            </w:tcMar>
          </w:tcPr>
          <w:p w14:paraId="15223E66" w14:textId="77777777" w:rsidR="00C94F6F" w:rsidRDefault="00C94F6F">
            <w:pPr>
              <w:widowControl w:val="0"/>
              <w:spacing w:line="240" w:lineRule="auto"/>
              <w:jc w:val="center"/>
              <w:rPr>
                <w:sz w:val="32"/>
                <w:szCs w:val="32"/>
              </w:rPr>
            </w:pPr>
          </w:p>
        </w:tc>
        <w:tc>
          <w:tcPr>
            <w:tcW w:w="3090" w:type="dxa"/>
            <w:shd w:val="clear" w:color="auto" w:fill="auto"/>
            <w:tcMar>
              <w:top w:w="100" w:type="dxa"/>
              <w:left w:w="100" w:type="dxa"/>
              <w:bottom w:w="100" w:type="dxa"/>
              <w:right w:w="100" w:type="dxa"/>
            </w:tcMar>
          </w:tcPr>
          <w:p w14:paraId="5DC07EB5" w14:textId="77777777" w:rsidR="00C94F6F" w:rsidRDefault="00C94F6F">
            <w:pPr>
              <w:widowControl w:val="0"/>
              <w:spacing w:line="240" w:lineRule="auto"/>
              <w:jc w:val="center"/>
              <w:rPr>
                <w:sz w:val="32"/>
                <w:szCs w:val="32"/>
              </w:rPr>
            </w:pPr>
          </w:p>
        </w:tc>
      </w:tr>
      <w:tr w:rsidR="00C94F6F" w14:paraId="6933FFA6" w14:textId="77777777">
        <w:tc>
          <w:tcPr>
            <w:tcW w:w="1575" w:type="dxa"/>
            <w:shd w:val="clear" w:color="auto" w:fill="auto"/>
            <w:tcMar>
              <w:top w:w="100" w:type="dxa"/>
              <w:left w:w="100" w:type="dxa"/>
              <w:bottom w:w="100" w:type="dxa"/>
              <w:right w:w="100" w:type="dxa"/>
            </w:tcMar>
          </w:tcPr>
          <w:p w14:paraId="25CA593C" w14:textId="77777777" w:rsidR="00C94F6F" w:rsidRDefault="00000000">
            <w:pPr>
              <w:widowControl w:val="0"/>
              <w:spacing w:line="240" w:lineRule="auto"/>
              <w:jc w:val="center"/>
            </w:pPr>
            <w:r>
              <w:t>Max Drawdown</w:t>
            </w:r>
          </w:p>
        </w:tc>
        <w:tc>
          <w:tcPr>
            <w:tcW w:w="1545" w:type="dxa"/>
            <w:shd w:val="clear" w:color="auto" w:fill="auto"/>
            <w:tcMar>
              <w:top w:w="100" w:type="dxa"/>
              <w:left w:w="100" w:type="dxa"/>
              <w:bottom w:w="100" w:type="dxa"/>
              <w:right w:w="100" w:type="dxa"/>
            </w:tcMar>
          </w:tcPr>
          <w:p w14:paraId="5ECE0DEA" w14:textId="77777777" w:rsidR="00C94F6F" w:rsidRDefault="00C94F6F">
            <w:pPr>
              <w:widowControl w:val="0"/>
              <w:spacing w:line="240" w:lineRule="auto"/>
              <w:jc w:val="center"/>
              <w:rPr>
                <w:sz w:val="32"/>
                <w:szCs w:val="32"/>
              </w:rPr>
            </w:pPr>
          </w:p>
        </w:tc>
        <w:tc>
          <w:tcPr>
            <w:tcW w:w="2790" w:type="dxa"/>
            <w:shd w:val="clear" w:color="auto" w:fill="auto"/>
            <w:tcMar>
              <w:top w:w="100" w:type="dxa"/>
              <w:left w:w="100" w:type="dxa"/>
              <w:bottom w:w="100" w:type="dxa"/>
              <w:right w:w="100" w:type="dxa"/>
            </w:tcMar>
          </w:tcPr>
          <w:p w14:paraId="21F8AFEA" w14:textId="77777777" w:rsidR="00C94F6F" w:rsidRDefault="00C94F6F">
            <w:pPr>
              <w:widowControl w:val="0"/>
              <w:spacing w:line="240" w:lineRule="auto"/>
              <w:jc w:val="center"/>
              <w:rPr>
                <w:sz w:val="32"/>
                <w:szCs w:val="32"/>
              </w:rPr>
            </w:pPr>
          </w:p>
        </w:tc>
        <w:tc>
          <w:tcPr>
            <w:tcW w:w="3090" w:type="dxa"/>
            <w:shd w:val="clear" w:color="auto" w:fill="auto"/>
            <w:tcMar>
              <w:top w:w="100" w:type="dxa"/>
              <w:left w:w="100" w:type="dxa"/>
              <w:bottom w:w="100" w:type="dxa"/>
              <w:right w:w="100" w:type="dxa"/>
            </w:tcMar>
          </w:tcPr>
          <w:p w14:paraId="5C8158AE" w14:textId="77777777" w:rsidR="00C94F6F" w:rsidRDefault="00C94F6F">
            <w:pPr>
              <w:widowControl w:val="0"/>
              <w:spacing w:line="240" w:lineRule="auto"/>
              <w:jc w:val="center"/>
              <w:rPr>
                <w:sz w:val="32"/>
                <w:szCs w:val="32"/>
              </w:rPr>
            </w:pPr>
          </w:p>
        </w:tc>
      </w:tr>
    </w:tbl>
    <w:p w14:paraId="5105D444" w14:textId="38C677FA" w:rsidR="00C94F6F" w:rsidRDefault="00C94F6F">
      <w:pPr>
        <w:rPr>
          <w:sz w:val="32"/>
          <w:szCs w:val="32"/>
        </w:rPr>
      </w:pPr>
    </w:p>
    <w:p w14:paraId="545B0254" w14:textId="77777777" w:rsidR="00F63D3C" w:rsidRDefault="00F63D3C">
      <w:pPr>
        <w:rPr>
          <w:sz w:val="32"/>
          <w:szCs w:val="32"/>
        </w:rPr>
      </w:pPr>
    </w:p>
    <w:p w14:paraId="249EAE75" w14:textId="77777777" w:rsidR="00F63D3C" w:rsidRDefault="00F63D3C"/>
    <w:sectPr w:rsidR="00F63D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F6F"/>
    <w:rsid w:val="00C94F6F"/>
    <w:rsid w:val="00F63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314D"/>
  <w15:docId w15:val="{5B7784C3-3E80-47F5-9AD9-042503F7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Pranjal Bhardwaj</cp:lastModifiedBy>
  <cp:revision>2</cp:revision>
  <dcterms:created xsi:type="dcterms:W3CDTF">2023-06-04T15:34:00Z</dcterms:created>
  <dcterms:modified xsi:type="dcterms:W3CDTF">2023-06-04T15:37:00Z</dcterms:modified>
</cp:coreProperties>
</file>