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83" w:rsidRDefault="00216553" w:rsidP="00216553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72"/>
          <w:szCs w:val="72"/>
          <w:lang w:eastAsia="en-IN"/>
        </w:rPr>
      </w:pPr>
      <w:r>
        <w:rPr>
          <w:rFonts w:ascii="Arial" w:eastAsia="Times New Roman" w:hAnsi="Arial" w:cs="Arial"/>
          <w:i/>
          <w:iCs/>
          <w:color w:val="000000"/>
          <w:sz w:val="72"/>
          <w:szCs w:val="72"/>
          <w:lang w:eastAsia="en-IN"/>
        </w:rPr>
        <w:t xml:space="preserve">Mathematical </w:t>
      </w:r>
      <w:r w:rsidR="002C4D83" w:rsidRPr="002C4D83">
        <w:rPr>
          <w:rFonts w:ascii="Arial" w:eastAsia="Times New Roman" w:hAnsi="Arial" w:cs="Arial"/>
          <w:i/>
          <w:iCs/>
          <w:color w:val="000000"/>
          <w:sz w:val="72"/>
          <w:szCs w:val="72"/>
          <w:lang w:eastAsia="en-IN"/>
        </w:rPr>
        <w:t>Trading Strategies</w:t>
      </w:r>
    </w:p>
    <w:p w:rsidR="008C1525" w:rsidRDefault="008C1525" w:rsidP="008C1525">
      <w:p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72"/>
          <w:szCs w:val="72"/>
          <w:lang w:eastAsia="en-IN"/>
        </w:rPr>
      </w:pPr>
    </w:p>
    <w:p w:rsidR="008C1525" w:rsidRPr="002C4D83" w:rsidRDefault="008C1525" w:rsidP="008C152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4"/>
          <w:szCs w:val="44"/>
          <w:lang w:eastAsia="en-IN"/>
        </w:rPr>
      </w:pPr>
    </w:p>
    <w:p w:rsidR="002C4D83" w:rsidRPr="002C4D83" w:rsidRDefault="002C4D83" w:rsidP="008C1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4D83" w:rsidRPr="002C4D83" w:rsidRDefault="002C4D83" w:rsidP="008C15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2C4D83">
        <w:rPr>
          <w:rFonts w:ascii="Arial" w:eastAsia="Times New Roman" w:hAnsi="Arial" w:cs="Arial"/>
          <w:b/>
          <w:color w:val="000000"/>
          <w:sz w:val="56"/>
          <w:szCs w:val="56"/>
          <w:lang w:eastAsia="en-IN"/>
        </w:rPr>
        <w:t>Assignment 2</w:t>
      </w:r>
    </w:p>
    <w:p w:rsidR="002C4D83" w:rsidRPr="002C4D83" w:rsidRDefault="002C4D83" w:rsidP="002C4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4D83" w:rsidRPr="002C4D83" w:rsidRDefault="002C4D83" w:rsidP="002C4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pPr w:leftFromText="180" w:rightFromText="180" w:vertAnchor="page" w:horzAnchor="margin" w:tblpXSpec="center" w:tblpY="6961"/>
        <w:tblW w:w="1399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1"/>
        <w:gridCol w:w="3860"/>
        <w:gridCol w:w="3685"/>
        <w:gridCol w:w="3686"/>
      </w:tblGrid>
      <w:tr w:rsidR="00F13343" w:rsidRPr="002C4D83" w:rsidTr="00D8239F">
        <w:trPr>
          <w:trHeight w:val="1643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4D83" w:rsidRPr="002C4D83" w:rsidRDefault="002C4D83" w:rsidP="008C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4D83" w:rsidRPr="002C4D83" w:rsidRDefault="002C4D83" w:rsidP="008C1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MACD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4D83" w:rsidRPr="002C4D83" w:rsidRDefault="002C4D83" w:rsidP="008C1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Bollinger Bands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4D83" w:rsidRPr="002C4D83" w:rsidRDefault="002C4D83" w:rsidP="008C15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sz w:val="32"/>
                <w:szCs w:val="32"/>
                <w:lang w:eastAsia="en-IN"/>
              </w:rPr>
              <w:t>Keltner Channels</w:t>
            </w:r>
          </w:p>
        </w:tc>
      </w:tr>
      <w:tr w:rsidR="004C167D" w:rsidRPr="002C4D83" w:rsidTr="00D8239F">
        <w:trPr>
          <w:trHeight w:val="1113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2C4D83" w:rsidRDefault="004C167D" w:rsidP="004C1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lang w:eastAsia="en-IN"/>
              </w:rPr>
              <w:t>Cumulative returns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4C167D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3.204324059005346</w:t>
            </w:r>
          </w:p>
          <w:p w:rsidR="004C167D" w:rsidRPr="003E17F9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  <w:p w:rsidR="004C167D" w:rsidRPr="002C4D83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3E17F9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1.3845051132379278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4C167D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2.7650595306675445</w:t>
            </w:r>
          </w:p>
          <w:p w:rsidR="004C167D" w:rsidRPr="003E17F9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</w:tc>
      </w:tr>
      <w:tr w:rsidR="004C167D" w:rsidRPr="002C4D83" w:rsidTr="00D8239F">
        <w:trPr>
          <w:trHeight w:val="1140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2C4D83" w:rsidRDefault="004C167D" w:rsidP="004C1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lang w:eastAsia="en-IN"/>
              </w:rPr>
              <w:t>Sharpe Ratio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67D" w:rsidRPr="002C4D83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1.221795881759188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2C4D83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0.6683092934874779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2C4D83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1.1139318515233074</w:t>
            </w:r>
          </w:p>
        </w:tc>
      </w:tr>
      <w:tr w:rsidR="004C167D" w:rsidRPr="002C4D83" w:rsidTr="00D8239F">
        <w:trPr>
          <w:trHeight w:val="1113"/>
        </w:trPr>
        <w:tc>
          <w:tcPr>
            <w:tcW w:w="27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2C4D83" w:rsidRDefault="004C167D" w:rsidP="004C16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4D83">
              <w:rPr>
                <w:rFonts w:ascii="Arial" w:eastAsia="Times New Roman" w:hAnsi="Arial" w:cs="Arial"/>
                <w:color w:val="000000"/>
                <w:lang w:eastAsia="en-IN"/>
              </w:rPr>
              <w:t>Max Drawdown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67D" w:rsidRPr="004C167D" w:rsidRDefault="004C167D" w:rsidP="004C167D">
            <w:pPr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-0.0909597730589482</w:t>
            </w:r>
          </w:p>
          <w:p w:rsidR="004C167D" w:rsidRPr="002C4D83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67D" w:rsidRPr="004C167D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-0.1923553212720681</w:t>
            </w:r>
          </w:p>
          <w:p w:rsidR="004C167D" w:rsidRPr="003E17F9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67D" w:rsidRPr="004C167D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  <w:r w:rsidRPr="004C167D"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  <w:t>-0.14009466576379204</w:t>
            </w:r>
          </w:p>
          <w:p w:rsidR="004C167D" w:rsidRPr="003E17F9" w:rsidRDefault="004C167D" w:rsidP="004C167D">
            <w:pPr>
              <w:spacing w:after="0" w:line="240" w:lineRule="auto"/>
              <w:rPr>
                <w:rFonts w:eastAsia="Times New Roman" w:cstheme="minorHAnsi"/>
                <w:b/>
                <w:bCs/>
                <w:color w:val="17365D" w:themeColor="text2" w:themeShade="BF"/>
                <w:sz w:val="28"/>
                <w:szCs w:val="28"/>
                <w:lang w:eastAsia="en-IN"/>
              </w:rPr>
            </w:pPr>
          </w:p>
        </w:tc>
      </w:tr>
    </w:tbl>
    <w:p w:rsidR="00216972" w:rsidRPr="005B0768" w:rsidRDefault="005B0768">
      <w:pPr>
        <w:rPr>
          <w:sz w:val="28"/>
        </w:rPr>
      </w:pPr>
      <w:proofErr w:type="gramStart"/>
      <w:r w:rsidRPr="005B0768">
        <w:rPr>
          <w:sz w:val="36"/>
        </w:rPr>
        <w:t xml:space="preserve">Methodology </w:t>
      </w:r>
      <w:r w:rsidRPr="005B0768">
        <w:rPr>
          <w:sz w:val="28"/>
        </w:rPr>
        <w:t>:</w:t>
      </w:r>
      <w:proofErr w:type="gramEnd"/>
      <w:r w:rsidRPr="005B0768">
        <w:rPr>
          <w:sz w:val="28"/>
        </w:rPr>
        <w:t xml:space="preserve"> on the basis of optimised indicators we first created buy and sell sig</w:t>
      </w:r>
      <w:r>
        <w:rPr>
          <w:sz w:val="28"/>
        </w:rPr>
        <w:t>nals ( representing them by 1 a</w:t>
      </w:r>
      <w:r w:rsidRPr="005B0768">
        <w:rPr>
          <w:sz w:val="28"/>
        </w:rPr>
        <w:t xml:space="preserve">nd 0 respectively). Taking in account the buy and sell signals we calculated daily returns. By using these daily returns we calculated the value of cumulative returns max drawdown and </w:t>
      </w:r>
      <w:proofErr w:type="spellStart"/>
      <w:proofErr w:type="gramStart"/>
      <w:r w:rsidRPr="005B0768">
        <w:rPr>
          <w:sz w:val="28"/>
        </w:rPr>
        <w:t>sharpe</w:t>
      </w:r>
      <w:proofErr w:type="spellEnd"/>
      <w:proofErr w:type="gramEnd"/>
      <w:r w:rsidRPr="005B0768">
        <w:rPr>
          <w:sz w:val="28"/>
        </w:rPr>
        <w:t xml:space="preserve"> ratio for the below three indicators.</w:t>
      </w:r>
    </w:p>
    <w:sectPr w:rsidR="00216972" w:rsidRPr="005B0768" w:rsidSect="00216553">
      <w:pgSz w:w="17010" w:h="16840"/>
      <w:pgMar w:top="1440" w:right="2387" w:bottom="1440" w:left="238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C4D83"/>
    <w:rsid w:val="000A4C2E"/>
    <w:rsid w:val="001B580A"/>
    <w:rsid w:val="00216553"/>
    <w:rsid w:val="002C4D83"/>
    <w:rsid w:val="003E17F9"/>
    <w:rsid w:val="004A1C5A"/>
    <w:rsid w:val="004C167D"/>
    <w:rsid w:val="005B0768"/>
    <w:rsid w:val="008C1525"/>
    <w:rsid w:val="009C5D0C"/>
    <w:rsid w:val="00BF0C4D"/>
    <w:rsid w:val="00D8239F"/>
    <w:rsid w:val="00E95815"/>
    <w:rsid w:val="00F13343"/>
    <w:rsid w:val="00F21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3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3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dell</cp:lastModifiedBy>
  <cp:revision>5</cp:revision>
  <dcterms:created xsi:type="dcterms:W3CDTF">2023-06-04T17:05:00Z</dcterms:created>
  <dcterms:modified xsi:type="dcterms:W3CDTF">2023-06-06T17:59:00Z</dcterms:modified>
</cp:coreProperties>
</file>