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Securithm Tokenomics Design</w:t>
      </w:r>
    </w:p>
    <w:p>
      <w:pPr>
        <w:pStyle w:val="Heading2"/>
        <w:pStyle w:val="MdHeading2"/>
      </w:pPr>
      <w:r>
        <w:t xml:space="preserve">1. Introduction</w:t>
      </w:r>
    </w:p>
    <w:p>
      <w:pPr>
        <w:pStyle w:val="MdParagraph"/>
      </w:pPr>
      <w:r>
        <w:t xml:space="preserve">This document outlines a proposed tokenomics model for Securithm, an AI-powered smart contract security analysis platform. The goal of this tokenomics design is to create a sustainable and robust economic ecosystem that incentivizes user engagement, platform growth, and long-term value creation for all stakeholders. The token will serve as the backbone for various functionalities, fostering a strong community and driving the adoption of Securithm's security services.</w:t>
      </w:r>
    </w:p>
    <w:p>
      <w:pPr>
        <w:pStyle w:val="MdSpace"/>
        <w:spacing w:before="0" w:after="60"/>
      </w:pPr>
    </w:p>
    <w:p>
      <w:pPr>
        <w:pStyle w:val="Heading2"/>
        <w:pStyle w:val="MdHeading2"/>
      </w:pPr>
      <w:r>
        <w:t xml:space="preserve">2. Securithm Platform Overview</w:t>
      </w:r>
    </w:p>
    <w:p>
      <w:pPr>
        <w:pStyle w:val="MdParagraph"/>
      </w:pPr>
      <w:r>
        <w:t xml:space="preserve">Securithm offers comprehensive smart contract security solutions, including:</w:t>
      </w:r>
    </w:p>
    <w:p>
      <w:pPr>
        <w:pStyle w:val="MdSpace"/>
        <w:spacing w:before="0" w:after="60"/>
      </w:pPr>
    </w:p>
    <w:p>
      <w:pPr>
        <w:pStyle w:val="MdListItem"/>
        <w:numPr>
          <w:ilvl w:val="0"/>
          <w:numId w:val="2"/>
        </w:numPr>
      </w:pPr>
      <w:r>
        <w:rPr>
          <w:rStyle w:val="MdStrong"/>
          <w:b/>
          <w:bCs/>
        </w:rPr>
        <w:t xml:space="preserve">AI powered Analysis:</w:t>
      </w:r>
      <w:r>
        <w:t xml:space="preserve"> Static, symbolic, and reasoning analysis for vulnerability detection.</w:t>
      </w:r>
    </w:p>
    <w:p>
      <w:pPr>
        <w:pStyle w:val="MdListItem"/>
        <w:numPr>
          <w:ilvl w:val="0"/>
          <w:numId w:val="2"/>
        </w:numPr>
      </w:pPr>
      <w:r>
        <w:rPr>
          <w:rStyle w:val="MdStrong"/>
          <w:b/>
          <w:bCs/>
        </w:rPr>
        <w:t xml:space="preserve">CI/CD Integration:</w:t>
      </w:r>
      <w:r>
        <w:t xml:space="preserve"> Seamless integration with development workflows (e.g., GitHub Actions).</w:t>
      </w:r>
    </w:p>
    <w:p>
      <w:pPr>
        <w:pStyle w:val="MdListItem"/>
        <w:numPr>
          <w:ilvl w:val="0"/>
          <w:numId w:val="2"/>
        </w:numPr>
      </w:pPr>
      <w:r>
        <w:rPr>
          <w:rStyle w:val="MdStrong"/>
          <w:b/>
          <w:bCs/>
        </w:rPr>
        <w:t xml:space="preserve">Continuous Monitoring:</w:t>
      </w:r>
      <w:r>
        <w:t xml:space="preserve"> Real-time surveillance of deployed contracts for anomalous activities.</w:t>
      </w:r>
    </w:p>
    <w:p>
      <w:pPr>
        <w:pStyle w:val="MdListItem"/>
        <w:numPr>
          <w:ilvl w:val="0"/>
          <w:numId w:val="2"/>
        </w:numPr>
      </w:pPr>
      <w:r>
        <w:rPr>
          <w:rStyle w:val="MdStrong"/>
          <w:b/>
          <w:bCs/>
        </w:rPr>
        <w:t xml:space="preserve">Fix Suggestions:</w:t>
      </w:r>
      <w:r>
        <w:t xml:space="preserve"> AI-generated secure code replacements and explanations.</w:t>
      </w:r>
    </w:p>
    <w:p>
      <w:pPr>
        <w:pStyle w:val="MdListItem"/>
        <w:numPr>
          <w:ilvl w:val="0"/>
          <w:numId w:val="2"/>
        </w:numPr>
      </w:pPr>
      <w:r>
        <w:rPr>
          <w:rStyle w:val="MdStrong"/>
          <w:b/>
          <w:bCs/>
        </w:rPr>
        <w:t xml:space="preserve">Risk Scoring:</w:t>
      </w:r>
      <w:r>
        <w:t xml:space="preserve"> Public API for evaluating contract risk.</w:t>
      </w:r>
    </w:p>
    <w:p>
      <w:pPr>
        <w:pStyle w:val="MdListItem"/>
        <w:numPr>
          <w:ilvl w:val="0"/>
          <w:numId w:val="2"/>
        </w:numPr>
      </w:pPr>
      <w:r>
        <w:rPr>
          <w:rStyle w:val="MdStrong"/>
          <w:b/>
          <w:bCs/>
        </w:rPr>
        <w:t xml:space="preserve">Remediation Flow:</w:t>
      </w:r>
      <w:r>
        <w:t xml:space="preserve"> Tools for assigning, tracking, and reporting on security findings.</w:t>
      </w:r>
    </w:p>
    <w:p>
      <w:pPr>
        <w:pStyle w:val="MdListItem"/>
        <w:numPr>
          <w:ilvl w:val="0"/>
          <w:numId w:val="2"/>
        </w:numPr>
      </w:pPr>
      <w:r>
        <w:rPr>
          <w:rStyle w:val="MdStrong"/>
          <w:b/>
          <w:bCs/>
        </w:rPr>
        <w:t xml:space="preserve">Tiered Services:</w:t>
      </w:r>
      <w:r>
        <w:t xml:space="preserve"> Free, Protocol Team (Pro), and Institution (Enterprise) plans.</w:t>
      </w:r>
    </w:p>
    <w:p>
      <w:pPr>
        <w:pStyle w:val="MdSpace"/>
        <w:spacing w:before="0" w:after="60"/>
      </w:pPr>
    </w:p>
    <w:p>
      <w:pPr>
        <w:pStyle w:val="Heading2"/>
        <w:pStyle w:val="MdHeading2"/>
      </w:pPr>
      <w:r>
        <w:t xml:space="preserve">3. Token Name and Symbol</w:t>
      </w:r>
    </w:p>
    <w:p>
      <w:pPr>
        <w:pStyle w:val="MdListItem"/>
        <w:numPr>
          <w:ilvl w:val="0"/>
          <w:numId w:val="2"/>
        </w:numPr>
      </w:pPr>
      <w:r>
        <w:rPr>
          <w:rStyle w:val="MdStrong"/>
          <w:b/>
          <w:bCs/>
        </w:rPr>
        <w:t xml:space="preserve">Token Name:</w:t>
      </w:r>
      <w:r>
        <w:t xml:space="preserve"> Securithm Token</w:t>
      </w:r>
    </w:p>
    <w:p>
      <w:pPr>
        <w:pStyle w:val="MdListItem"/>
        <w:numPr>
          <w:ilvl w:val="0"/>
          <w:numId w:val="2"/>
        </w:numPr>
      </w:pPr>
      <w:r>
        <w:rPr>
          <w:rStyle w:val="MdStrong"/>
          <w:b/>
          <w:bCs/>
        </w:rPr>
        <w:t xml:space="preserve">Token Symbol:</w:t>
      </w:r>
      <w:r>
        <w:t xml:space="preserve"> SCRT (Example, can be changed)</w:t>
      </w:r>
    </w:p>
    <w:p>
      <w:pPr>
        <w:pStyle w:val="MdSpace"/>
        <w:spacing w:before="0" w:after="60"/>
      </w:pPr>
    </w:p>
    <w:p>
      <w:pPr>
        <w:pStyle w:val="Heading2"/>
        <w:pStyle w:val="MdHeading2"/>
      </w:pPr>
      <w:r>
        <w:t xml:space="preserve">4. Token Utility and Value Proposition</w:t>
      </w:r>
    </w:p>
    <w:p>
      <w:pPr>
        <w:pStyle w:val="MdParagraph"/>
      </w:pPr>
      <w:r>
        <w:t xml:space="preserve">The SCRT token will be integral to the Securithm ecosystem, providing multiple utilities that drive demand and value:</w:t>
      </w:r>
    </w:p>
    <w:p>
      <w:pPr>
        <w:pStyle w:val="MdSpace"/>
        <w:spacing w:before="0" w:after="60"/>
      </w:pPr>
    </w:p>
    <w:p>
      <w:pPr>
        <w:pStyle w:val="Heading3"/>
        <w:pStyle w:val="MdHeading3"/>
      </w:pPr>
      <w:r>
        <w:t xml:space="preserve">4.1. Payment for Premium Services</w:t>
      </w:r>
    </w:p>
    <w:p>
      <w:pPr>
        <w:pStyle w:val="MdParagraph"/>
      </w:pPr>
      <w:r>
        <w:t xml:space="preserve">Users will be able to use SCRT tokens to pay for:</w:t>
      </w:r>
    </w:p>
    <w:p>
      <w:pPr>
        <w:pStyle w:val="MdSpace"/>
        <w:spacing w:before="0" w:after="60"/>
      </w:pPr>
    </w:p>
    <w:p>
      <w:pPr>
        <w:pStyle w:val="MdListItem"/>
        <w:numPr>
          <w:ilvl w:val="0"/>
          <w:numId w:val="2"/>
        </w:numPr>
      </w:pPr>
      <w:r>
        <w:rPr>
          <w:rStyle w:val="MdStrong"/>
          <w:b/>
          <w:bCs/>
        </w:rPr>
        <w:t xml:space="preserve">Advanced Scans:</w:t>
      </w:r>
      <w:r>
        <w:t xml:space="preserve"> Access to higher limits on scans, deeper analysis, or specialized scanning modules.</w:t>
      </w:r>
    </w:p>
    <w:p>
      <w:pPr>
        <w:pStyle w:val="MdListItem"/>
        <w:numPr>
          <w:ilvl w:val="0"/>
          <w:numId w:val="2"/>
        </w:numPr>
      </w:pPr>
      <w:r>
        <w:rPr>
          <w:rStyle w:val="MdStrong"/>
          <w:b/>
          <w:bCs/>
        </w:rPr>
        <w:t xml:space="preserve">Continuous Monitoring:</w:t>
      </w:r>
      <w:r>
        <w:t xml:space="preserve"> Subscriptions for real-time monitoring of multiple deployed contracts.</w:t>
      </w:r>
    </w:p>
    <w:p>
      <w:pPr>
        <w:pStyle w:val="MdListItem"/>
        <w:numPr>
          <w:ilvl w:val="0"/>
          <w:numId w:val="2"/>
        </w:numPr>
      </w:pPr>
      <w:r>
        <w:rPr>
          <w:rStyle w:val="MdStrong"/>
          <w:b/>
          <w:bCs/>
        </w:rPr>
        <w:t xml:space="preserve">API Access:</w:t>
      </w:r>
      <w:r>
        <w:t xml:space="preserve"> Enhanced rate limits and access to premium features of the Risk Score API.</w:t>
      </w:r>
    </w:p>
    <w:p>
      <w:pPr>
        <w:pStyle w:val="MdListItem"/>
        <w:numPr>
          <w:ilvl w:val="0"/>
          <w:numId w:val="2"/>
        </w:numPr>
      </w:pPr>
      <w:r>
        <w:rPr>
          <w:rStyle w:val="MdStrong"/>
          <w:b/>
          <w:bCs/>
        </w:rPr>
        <w:t xml:space="preserve">Enterprise Features:</w:t>
      </w:r>
      <w:r>
        <w:t xml:space="preserve"> Unlocking features specific to Protocol Team and Institution tiers, such as dedicated support, custom integrations, and advanced reporting.</w:t>
      </w:r>
    </w:p>
    <w:p>
      <w:pPr>
        <w:pStyle w:val="MdSpace"/>
        <w:spacing w:before="0" w:after="60"/>
      </w:pPr>
    </w:p>
    <w:p>
      <w:pPr>
        <w:pStyle w:val="Heading3"/>
        <w:pStyle w:val="MdHeading3"/>
      </w:pPr>
      <w:r>
        <w:t xml:space="preserve">4.2. Staking for Discounts and Benefits</w:t>
      </w:r>
    </w:p>
    <w:p>
      <w:pPr>
        <w:pStyle w:val="MdParagraph"/>
      </w:pPr>
      <w:r>
        <w:t xml:space="preserve">Users can stake SCRT tokens to receive:</w:t>
      </w:r>
    </w:p>
    <w:p>
      <w:pPr>
        <w:pStyle w:val="MdSpace"/>
        <w:spacing w:before="0" w:after="60"/>
      </w:pPr>
    </w:p>
    <w:p>
      <w:pPr>
        <w:pStyle w:val="MdListItem"/>
        <w:numPr>
          <w:ilvl w:val="0"/>
          <w:numId w:val="2"/>
        </w:numPr>
      </w:pPr>
      <w:r>
        <w:rPr>
          <w:rStyle w:val="MdStrong"/>
          <w:b/>
          <w:bCs/>
        </w:rPr>
        <w:t xml:space="preserve">Service Discounts:</w:t>
      </w:r>
      <w:r>
        <w:t xml:space="preserve"> Reduced fees on all Securithm services.</w:t>
      </w:r>
    </w:p>
    <w:p>
      <w:pPr>
        <w:pStyle w:val="MdListItem"/>
        <w:numPr>
          <w:ilvl w:val="0"/>
          <w:numId w:val="2"/>
        </w:numPr>
      </w:pPr>
      <w:r>
        <w:rPr>
          <w:rStyle w:val="MdStrong"/>
          <w:b/>
          <w:bCs/>
        </w:rPr>
        <w:t xml:space="preserve">Priority Access:</w:t>
      </w:r>
      <w:r>
        <w:t xml:space="preserve"> Early access to new features, beta programs, or specialized security reports.</w:t>
      </w:r>
    </w:p>
    <w:p>
      <w:pPr>
        <w:pStyle w:val="MdListItem"/>
        <w:numPr>
          <w:ilvl w:val="0"/>
          <w:numId w:val="2"/>
        </w:numPr>
      </w:pPr>
      <w:r>
        <w:rPr>
          <w:rStyle w:val="MdStrong"/>
          <w:b/>
          <w:bCs/>
        </w:rPr>
        <w:t xml:space="preserve">Enhanced API Limits:</w:t>
      </w:r>
      <w:r>
        <w:t xml:space="preserve"> Higher API request limits for developers and institutions.</w:t>
      </w:r>
    </w:p>
    <w:p>
      <w:pPr>
        <w:pStyle w:val="MdListItem"/>
        <w:numPr>
          <w:ilvl w:val="0"/>
          <w:numId w:val="2"/>
        </w:numPr>
      </w:pPr>
      <w:r>
        <w:rPr>
          <w:rStyle w:val="MdStrong"/>
          <w:b/>
          <w:bCs/>
        </w:rPr>
        <w:t xml:space="preserve">Exclusive Content:</w:t>
      </w:r>
      <w:r>
        <w:t xml:space="preserve"> Access to premium security research, threat intelligence, or educational materials.</w:t>
      </w:r>
    </w:p>
    <w:p>
      <w:pPr>
        <w:pStyle w:val="MdSpace"/>
        <w:spacing w:before="0" w:after="60"/>
      </w:pPr>
    </w:p>
    <w:p>
      <w:pPr>
        <w:pStyle w:val="Heading3"/>
        <w:pStyle w:val="MdHeading3"/>
      </w:pPr>
      <w:r>
        <w:t xml:space="preserve">4.3. Governance</w:t>
      </w:r>
    </w:p>
    <w:p>
      <w:pPr>
        <w:pStyle w:val="MdParagraph"/>
      </w:pPr>
      <w:r>
        <w:t xml:space="preserve">SCRT token holders will have the ability to participate in the decentralized governance of the Securithm platform. This includes voting on:</w:t>
      </w:r>
    </w:p>
    <w:p>
      <w:pPr>
        <w:pStyle w:val="MdSpace"/>
        <w:spacing w:before="0" w:after="60"/>
      </w:pPr>
    </w:p>
    <w:p>
      <w:pPr>
        <w:pStyle w:val="MdListItem"/>
        <w:numPr>
          <w:ilvl w:val="0"/>
          <w:numId w:val="2"/>
        </w:numPr>
      </w:pPr>
      <w:r>
        <w:rPr>
          <w:rStyle w:val="MdStrong"/>
          <w:b/>
          <w:bCs/>
        </w:rPr>
        <w:t xml:space="preserve">Feature Prioritization:</w:t>
      </w:r>
      <w:r>
        <w:t xml:space="preserve"> Deciding which new features or integrations to develop.</w:t>
      </w:r>
    </w:p>
    <w:p>
      <w:pPr>
        <w:pStyle w:val="MdListItem"/>
        <w:numPr>
          <w:ilvl w:val="0"/>
          <w:numId w:val="2"/>
        </w:numPr>
      </w:pPr>
      <w:r>
        <w:rPr>
          <w:rStyle w:val="MdStrong"/>
          <w:b/>
          <w:bCs/>
        </w:rPr>
        <w:t xml:space="preserve">Fee Structure Adjustments:</w:t>
      </w:r>
      <w:r>
        <w:t xml:space="preserve"> Proposing and voting on changes to service fees.</w:t>
      </w:r>
    </w:p>
    <w:p>
      <w:pPr>
        <w:pStyle w:val="MdListItem"/>
        <w:numPr>
          <w:ilvl w:val="0"/>
          <w:numId w:val="2"/>
        </w:numPr>
      </w:pPr>
      <w:r>
        <w:rPr>
          <w:rStyle w:val="MdStrong"/>
          <w:b/>
          <w:bCs/>
        </w:rPr>
        <w:t xml:space="preserve">Ecosystem Fund Allocation:</w:t>
      </w:r>
      <w:r>
        <w:t xml:space="preserve"> Directing the use of a community-managed ecosystem fund for grants, partnerships, or marketing initiatives.</w:t>
      </w:r>
    </w:p>
    <w:p>
      <w:pPr>
        <w:pStyle w:val="MdListItem"/>
        <w:numPr>
          <w:ilvl w:val="0"/>
          <w:numId w:val="2"/>
        </w:numPr>
      </w:pPr>
      <w:r>
        <w:rPr>
          <w:rStyle w:val="MdStrong"/>
          <w:b/>
          <w:bCs/>
        </w:rPr>
        <w:t xml:space="preserve">Protocol Upgrades:</w:t>
      </w:r>
      <w:r>
        <w:t xml:space="preserve"> Approving significant changes or upgrades to the Securithm protocol.</w:t>
      </w:r>
    </w:p>
    <w:p>
      <w:pPr>
        <w:pStyle w:val="MdSpace"/>
        <w:spacing w:before="0" w:after="60"/>
      </w:pPr>
    </w:p>
    <w:p>
      <w:pPr>
        <w:pStyle w:val="Heading3"/>
        <w:pStyle w:val="MdHeading3"/>
      </w:pPr>
      <w:r>
        <w:t xml:space="preserve">4.4. Rewards for Contributions</w:t>
      </w:r>
    </w:p>
    <w:p>
      <w:pPr>
        <w:pStyle w:val="MdParagraph"/>
      </w:pPr>
      <w:r>
        <w:t xml:space="preserve">SCRT tokens will be used to reward users who contribute to the security and growth of the ecosystem:</w:t>
      </w:r>
    </w:p>
    <w:p>
      <w:pPr>
        <w:pStyle w:val="MdSpace"/>
        <w:spacing w:before="0" w:after="60"/>
      </w:pPr>
    </w:p>
    <w:p>
      <w:pPr>
        <w:pStyle w:val="MdListItem"/>
        <w:numPr>
          <w:ilvl w:val="0"/>
          <w:numId w:val="2"/>
        </w:numPr>
      </w:pPr>
      <w:r>
        <w:rPr>
          <w:rStyle w:val="MdStrong"/>
          <w:b/>
          <w:bCs/>
        </w:rPr>
        <w:t xml:space="preserve">Bug Bounties:</w:t>
      </w:r>
      <w:r>
        <w:t xml:space="preserve"> Rewarding security researchers for identifying and responsibly disclosing vulnerabilities in smart contracts analyzed by Securithm.</w:t>
      </w:r>
    </w:p>
    <w:p>
      <w:pPr>
        <w:pStyle w:val="MdListItem"/>
        <w:numPr>
          <w:ilvl w:val="0"/>
          <w:numId w:val="2"/>
        </w:numPr>
      </w:pPr>
      <w:r>
        <w:rPr>
          <w:rStyle w:val="MdStrong"/>
          <w:b/>
          <w:bCs/>
        </w:rPr>
        <w:t xml:space="preserve">Community Contributions:</w:t>
      </w:r>
      <w:r>
        <w:t xml:space="preserve"> Incentivizing users who contribute to documentation, provide valuable feedback, or help onboard new users.</w:t>
      </w:r>
    </w:p>
    <w:p>
      <w:pPr>
        <w:pStyle w:val="MdListItem"/>
        <w:numPr>
          <w:ilvl w:val="0"/>
          <w:numId w:val="2"/>
        </w:numPr>
      </w:pPr>
      <w:r>
        <w:rPr>
          <w:rStyle w:val="MdStrong"/>
          <w:b/>
          <w:bCs/>
        </w:rPr>
        <w:t xml:space="preserve">Referral Program:</w:t>
      </w:r>
      <w:r>
        <w:t xml:space="preserve"> Rewarding users for referring new clients to the Securithm platform.</w:t>
      </w:r>
    </w:p>
    <w:p>
      <w:pPr>
        <w:pStyle w:val="MdSpace"/>
        <w:spacing w:before="0" w:after="60"/>
      </w:pPr>
    </w:p>
    <w:p>
      <w:pPr>
        <w:pStyle w:val="Heading2"/>
        <w:pStyle w:val="MdHeading2"/>
      </w:pPr>
      <w:r>
        <w:t xml:space="preserve">5. Retention Loop Mechanisms</w:t>
      </w:r>
    </w:p>
    <w:p>
      <w:pPr>
        <w:pStyle w:val="MdParagraph"/>
      </w:pPr>
      <w:r>
        <w:t xml:space="preserve">To ensure long-term engagement and value accrual, the Securithm tokenomics will incorporate several retention loops:</w:t>
      </w:r>
    </w:p>
    <w:p>
      <w:pPr>
        <w:pStyle w:val="MdSpace"/>
        <w:spacing w:before="0" w:after="60"/>
      </w:pPr>
    </w:p>
    <w:p>
      <w:pPr>
        <w:pStyle w:val="Heading3"/>
        <w:pStyle w:val="MdHeading3"/>
      </w:pPr>
      <w:r>
        <w:t xml:space="preserve">5.1. Staking and Loyalty Tiers</w:t>
      </w:r>
    </w:p>
    <w:p>
      <w:pPr>
        <w:pStyle w:val="MdParagraph"/>
      </w:pPr>
      <w:r>
        <w:t xml:space="preserve">Users are incentivized to stake SCRT tokens for extended periods to unlock tiered benefits. These tiers could offer:</w:t>
      </w:r>
    </w:p>
    <w:p>
      <w:pPr>
        <w:pStyle w:val="MdSpace"/>
        <w:spacing w:before="0" w:after="60"/>
      </w:pPr>
    </w:p>
    <w:p>
      <w:pPr>
        <w:pStyle w:val="MdListItem"/>
        <w:numPr>
          <w:ilvl w:val="0"/>
          <w:numId w:val="2"/>
        </w:numPr>
      </w:pPr>
      <w:r>
        <w:rPr>
          <w:rStyle w:val="MdStrong"/>
          <w:b/>
          <w:bCs/>
        </w:rPr>
        <w:t xml:space="preserve">Increased Discounts:</w:t>
      </w:r>
      <w:r>
        <w:t xml:space="preserve"> Higher staking amounts or longer staking periods lead to greater discounts on services.</w:t>
      </w:r>
    </w:p>
    <w:p>
      <w:pPr>
        <w:pStyle w:val="MdListItem"/>
        <w:numPr>
          <w:ilvl w:val="0"/>
          <w:numId w:val="2"/>
        </w:numPr>
      </w:pPr>
      <w:r>
        <w:rPr>
          <w:rStyle w:val="MdStrong"/>
          <w:b/>
          <w:bCs/>
        </w:rPr>
        <w:t xml:space="preserve">Exclusive Features:</w:t>
      </w:r>
      <w:r>
        <w:t xml:space="preserve"> Access to advanced tools or analytics only available to higher-tier stakers.</w:t>
      </w:r>
    </w:p>
    <w:p>
      <w:pPr>
        <w:pStyle w:val="MdListItem"/>
        <w:numPr>
          <w:ilvl w:val="0"/>
          <w:numId w:val="2"/>
        </w:numPr>
      </w:pPr>
      <w:r>
        <w:rPr>
          <w:rStyle w:val="MdStrong"/>
          <w:b/>
          <w:bCs/>
        </w:rPr>
        <w:t xml:space="preserve">Governance Weight:</w:t>
      </w:r>
      <w:r>
        <w:t xml:space="preserve"> Staking can increase a user's voting power in governance decisions.</w:t>
      </w:r>
    </w:p>
    <w:p>
      <w:pPr>
        <w:pStyle w:val="MdSpace"/>
        <w:spacing w:before="0" w:after="60"/>
      </w:pPr>
    </w:p>
    <w:p>
      <w:pPr>
        <w:pStyle w:val="Heading3"/>
        <w:pStyle w:val="MdHeading3"/>
      </w:pPr>
      <w:r>
        <w:t xml:space="preserve">5.2. Deflationary Mechanisms</w:t>
      </w:r>
    </w:p>
    <w:p>
      <w:pPr>
        <w:pStyle w:val="MdParagraph"/>
      </w:pPr>
      <w:r>
        <w:t xml:space="preserve">To maintain token value and reward long-term holders, deflationary measures will be implemented:</w:t>
      </w:r>
    </w:p>
    <w:p>
      <w:pPr>
        <w:pStyle w:val="MdSpace"/>
        <w:spacing w:before="0" w:after="60"/>
      </w:pPr>
    </w:p>
    <w:p>
      <w:pPr>
        <w:pStyle w:val="MdListItem"/>
        <w:numPr>
          <w:ilvl w:val="0"/>
          <w:numId w:val="2"/>
        </w:numPr>
      </w:pPr>
      <w:r>
        <w:rPr>
          <w:rStyle w:val="MdStrong"/>
          <w:b/>
          <w:bCs/>
        </w:rPr>
        <w:t xml:space="preserve">Fee Burning:</w:t>
      </w:r>
      <w:r>
        <w:t xml:space="preserve"> A percentage of all SCRT tokens collected from service fees will be permanently removed from circulation (burned).</w:t>
      </w:r>
    </w:p>
    <w:p>
      <w:pPr>
        <w:pStyle w:val="MdListItem"/>
        <w:numPr>
          <w:ilvl w:val="0"/>
          <w:numId w:val="2"/>
        </w:numPr>
      </w:pPr>
      <w:r>
        <w:rPr>
          <w:rStyle w:val="MdStrong"/>
          <w:b/>
          <w:bCs/>
        </w:rPr>
        <w:t xml:space="preserve">Buyback and Burn:</w:t>
      </w:r>
      <w:r>
        <w:t xml:space="preserve"> A portion of the platform's revenue (e.g., from fiat payments for services) could be used to buy back SCRT tokens from the open market and burn them.</w:t>
      </w:r>
    </w:p>
    <w:p>
      <w:pPr>
        <w:pStyle w:val="MdSpace"/>
        <w:spacing w:before="0" w:after="60"/>
      </w:pPr>
    </w:p>
    <w:p>
      <w:pPr>
        <w:pStyle w:val="Heading3"/>
        <w:pStyle w:val="MdHeading3"/>
      </w:pPr>
      <w:r>
        <w:t xml:space="preserve">5.3. Gamified Security Challenges</w:t>
      </w:r>
    </w:p>
    <w:p>
      <w:pPr>
        <w:pStyle w:val="MdParagraph"/>
      </w:pPr>
      <w:r>
        <w:t xml:space="preserve">Securithm can introduce gamified elements to encourage continuous engagement:</w:t>
      </w:r>
    </w:p>
    <w:p>
      <w:pPr>
        <w:pStyle w:val="MdSpace"/>
        <w:spacing w:before="0" w:after="60"/>
      </w:pPr>
    </w:p>
    <w:p>
      <w:pPr>
        <w:pStyle w:val="MdListItem"/>
        <w:numPr>
          <w:ilvl w:val="0"/>
          <w:numId w:val="2"/>
        </w:numPr>
      </w:pPr>
      <w:r>
        <w:rPr>
          <w:rStyle w:val="MdStrong"/>
          <w:b/>
          <w:bCs/>
        </w:rPr>
        <w:t xml:space="preserve">Security Leaderboards:</w:t>
      </w:r>
      <w:r>
        <w:t xml:space="preserve"> Users who consistently submit high-quality contract analyses or identify critical vulnerabilities are ranked and rewarded with SCRT tokens.</w:t>
      </w:r>
    </w:p>
    <w:p>
      <w:pPr>
        <w:pStyle w:val="MdListItem"/>
        <w:numPr>
          <w:ilvl w:val="0"/>
          <w:numId w:val="2"/>
        </w:numPr>
      </w:pPr>
      <w:r>
        <w:rPr>
          <w:rStyle w:val="MdStrong"/>
          <w:b/>
          <w:bCs/>
        </w:rPr>
        <w:t xml:space="preserve">Achievement Badges/NFTs:</w:t>
      </w:r>
      <w:r>
        <w:t xml:space="preserve"> Digital collectibles awarded for reaching milestones (e.g., scanning a certain number of contracts, participating in governance, finding critical bugs), which could have future utility or value.</w:t>
      </w:r>
    </w:p>
    <w:p>
      <w:pPr>
        <w:pStyle w:val="MdSpace"/>
        <w:spacing w:before="0" w:after="60"/>
      </w:pPr>
    </w:p>
    <w:p>
      <w:pPr>
        <w:pStyle w:val="Heading3"/>
        <w:pStyle w:val="MdHeading3"/>
      </w:pPr>
      <w:r>
        <w:t xml:space="preserve">5.4. Continuous Value Proposition</w:t>
      </w:r>
    </w:p>
    <w:p>
      <w:pPr>
        <w:pStyle w:val="MdParagraph"/>
      </w:pPr>
      <w:r>
        <w:t xml:space="preserve">The core retention mechanism will be the continuous improvement and expansion of Securithm's security services. As the platform evolves, the utility and demand for SCRT tokens will naturally grow, encouraging users to remain active and hold tokens to access the latest and most effective security tools.</w:t>
      </w:r>
    </w:p>
    <w:p>
      <w:pPr>
        <w:pStyle w:val="MdSpace"/>
        <w:spacing w:before="0" w:after="60"/>
      </w:pPr>
    </w:p>
    <w:p>
      <w:pPr>
        <w:pStyle w:val="Heading2"/>
        <w:pStyle w:val="MdHeading2"/>
      </w:pPr>
      <w:r>
        <w:t xml:space="preserve">6. Token Distribution and Vesting (Example)</w:t>
      </w:r>
    </w:p>
    <w:p>
      <w:pPr>
        <w:pStyle w:val="MdParagraph"/>
      </w:pPr>
      <w:r>
        <w:t xml:space="preserve">This section provides an example distribution model. Actual percentages and vesting schedules would be determined based on project needs and market conditions.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Category</w:t>
            </w:r>
          </w:p>
        </w:tc>
        <w:tc>
          <w:tcPr>
            <w:tcMar>
              <w:top w:type="dxa" w:w="100"/>
              <w:left w:type="dxa" w:w="120"/>
              <w:bottom w:type="dxa" w:w="100"/>
              <w:right w:type="dxa" w:w="120"/>
            </w:tcMar>
            <w:vAlign w:val="center"/>
          </w:tcPr>
          <w:p>
            <w:pPr>
              <w:pStyle w:val="MdTableHeader"/>
            </w:pPr>
            <w:r>
              <w:t xml:space="preserve">Allocation (%)</w:t>
            </w:r>
          </w:p>
        </w:tc>
        <w:tc>
          <w:tcPr>
            <w:tcBorders>
              <w:right w:val="none"/>
            </w:tcBorders>
            <w:tcMar>
              <w:top w:type="dxa" w:w="100"/>
              <w:left w:type="dxa" w:w="120"/>
              <w:bottom w:type="dxa" w:w="100"/>
              <w:right w:type="dxa" w:w="120"/>
            </w:tcMar>
            <w:vAlign w:val="center"/>
          </w:tcPr>
          <w:p>
            <w:pPr>
              <w:pStyle w:val="MdTableHeader"/>
            </w:pPr>
            <w:r>
              <w:t xml:space="preserve">Vesting Schedule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Ecosystem Fund</w:t>
            </w:r>
          </w:p>
        </w:tc>
        <w:tc>
          <w:tcPr>
            <w:tcMar>
              <w:top w:type="dxa" w:w="80"/>
              <w:left w:type="dxa" w:w="120"/>
              <w:bottom w:type="dxa" w:w="80"/>
              <w:right w:type="dxa" w:w="120"/>
            </w:tcMar>
            <w:vAlign w:val="center"/>
          </w:tcPr>
          <w:p>
            <w:pPr>
              <w:pStyle w:val="MdTableCell"/>
            </w:pPr>
            <w:r>
              <w:t xml:space="preserve">35%</w:t>
            </w:r>
          </w:p>
        </w:tc>
        <w:tc>
          <w:tcPr>
            <w:tcBorders>
              <w:right w:val="none"/>
            </w:tcBorders>
            <w:tcMar>
              <w:top w:type="dxa" w:w="80"/>
              <w:left w:type="dxa" w:w="120"/>
              <w:bottom w:type="dxa" w:w="80"/>
              <w:right w:type="dxa" w:w="120"/>
            </w:tcMar>
            <w:vAlign w:val="center"/>
          </w:tcPr>
          <w:p>
            <w:pPr>
              <w:pStyle w:val="MdTableCell"/>
            </w:pPr>
            <w:r>
              <w:t xml:space="preserve">Unlocked over 5 years for grants, partnerships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Community Rewards</w:t>
            </w:r>
          </w:p>
        </w:tc>
        <w:tc>
          <w:tcPr>
            <w:tcMar>
              <w:top w:type="dxa" w:w="80"/>
              <w:left w:type="dxa" w:w="120"/>
              <w:bottom w:type="dxa" w:w="80"/>
              <w:right w:type="dxa" w:w="120"/>
            </w:tcMar>
            <w:vAlign w:val="center"/>
          </w:tcPr>
          <w:p>
            <w:pPr>
              <w:pStyle w:val="MdTableCell"/>
            </w:pPr>
            <w:r>
              <w:t xml:space="preserve">25%</w:t>
            </w:r>
          </w:p>
        </w:tc>
        <w:tc>
          <w:tcPr>
            <w:tcBorders>
              <w:right w:val="none"/>
            </w:tcBorders>
            <w:tcMar>
              <w:top w:type="dxa" w:w="80"/>
              <w:left w:type="dxa" w:w="120"/>
              <w:bottom w:type="dxa" w:w="80"/>
              <w:right w:type="dxa" w:w="120"/>
            </w:tcMar>
            <w:vAlign w:val="center"/>
          </w:tcPr>
          <w:p>
            <w:pPr>
              <w:pStyle w:val="MdTableCell"/>
            </w:pPr>
            <w:r>
              <w:t xml:space="preserve">Distributed for bug bounties, contributions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Team &amp; Advisors</w:t>
            </w:r>
          </w:p>
        </w:tc>
        <w:tc>
          <w:tcPr>
            <w:tcMar>
              <w:top w:type="dxa" w:w="80"/>
              <w:left w:type="dxa" w:w="120"/>
              <w:bottom w:type="dxa" w:w="80"/>
              <w:right w:type="dxa" w:w="120"/>
            </w:tcMar>
            <w:vAlign w:val="center"/>
          </w:tcPr>
          <w:p>
            <w:pPr>
              <w:pStyle w:val="MdTableCell"/>
            </w:pPr>
            <w:r>
              <w:t xml:space="preserve">20%</w:t>
            </w:r>
          </w:p>
        </w:tc>
        <w:tc>
          <w:tcPr>
            <w:tcBorders>
              <w:right w:val="none"/>
            </w:tcBorders>
            <w:tcMar>
              <w:top w:type="dxa" w:w="80"/>
              <w:left w:type="dxa" w:w="120"/>
              <w:bottom w:type="dxa" w:w="80"/>
              <w:right w:type="dxa" w:w="120"/>
            </w:tcMar>
            <w:vAlign w:val="center"/>
          </w:tcPr>
          <w:p>
            <w:pPr>
              <w:pStyle w:val="MdTableCell"/>
            </w:pPr>
            <w:r>
              <w:t xml:space="preserve">1-year cliff, 3-year linear vesting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Private Sale</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6-month cliff, 1-year linear vesting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Public Sale</w:t>
            </w:r>
          </w:p>
        </w:tc>
        <w:tc>
          <w:tcPr>
            <w:tcMar>
              <w:top w:type="dxa" w:w="80"/>
              <w:left w:type="dxa" w:w="120"/>
              <w:bottom w:type="dxa" w:w="80"/>
              <w:right w:type="dxa" w:w="120"/>
            </w:tcMar>
            <w:vAlign w:val="center"/>
          </w:tcPr>
          <w:p>
            <w:pPr>
              <w:pStyle w:val="MdTableCell"/>
            </w:pPr>
            <w:r>
              <w:t xml:space="preserve">5%</w:t>
            </w:r>
          </w:p>
        </w:tc>
        <w:tc>
          <w:tcPr>
            <w:tcBorders>
              <w:right w:val="none"/>
            </w:tcBorders>
            <w:tcMar>
              <w:top w:type="dxa" w:w="80"/>
              <w:left w:type="dxa" w:w="120"/>
              <w:bottom w:type="dxa" w:w="80"/>
              <w:right w:type="dxa" w:w="120"/>
            </w:tcMar>
            <w:vAlign w:val="center"/>
          </w:tcPr>
          <w:p>
            <w:pPr>
              <w:pStyle w:val="MdTableCell"/>
            </w:pPr>
            <w:r>
              <w:t xml:space="preserve">25% unlocked at TGE, 75% linear over 3 months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Liquidity</w:t>
            </w:r>
          </w:p>
        </w:tc>
        <w:tc>
          <w:tcPr>
            <w:tcBorders>
              <w:bottom w:val="single" w:color="E1E4E8" w:sz="4"/>
            </w:tcBorders>
            <w:tcMar>
              <w:top w:type="dxa" w:w="80"/>
              <w:left w:type="dxa" w:w="120"/>
              <w:bottom w:type="dxa" w:w="80"/>
              <w:right w:type="dxa" w:w="120"/>
            </w:tcMar>
            <w:vAlign w:val="center"/>
          </w:tcPr>
          <w:p>
            <w:pPr>
              <w:pStyle w:val="MdTableCell"/>
            </w:pPr>
            <w:r>
              <w:t xml:space="preserve">5%</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Unlocked at TGE for exchange listings</w:t>
            </w:r>
          </w:p>
        </w:tc>
      </w:tr>
    </w:tbl>
    <w:p>
      <w:pPr>
        <w:pStyle w:val="MdParagraph"/>
      </w:pPr>
      <w:r>
        <w:rPr>
          <w:rStyle w:val="MdStrong"/>
          <w:b/>
          <w:bCs/>
        </w:rPr>
        <w:t xml:space="preserve">Total Supply:</w:t>
      </w:r>
      <w:r>
        <w:t xml:space="preserve"> To be determined based on market analysis and economic modeling.</w:t>
      </w:r>
    </w:p>
    <w:p>
      <w:pPr>
        <w:pStyle w:val="MdSpace"/>
        <w:spacing w:before="0" w:after="60"/>
      </w:pPr>
    </w:p>
    <w:p>
      <w:pPr>
        <w:pStyle w:val="Heading2"/>
        <w:pStyle w:val="MdHeading2"/>
      </w:pPr>
      <w:r>
        <w:t xml:space="preserve">7. Economic Model and Sustainability</w:t>
      </w:r>
    </w:p>
    <w:p>
      <w:pPr>
        <w:pStyle w:val="MdParagraph"/>
      </w:pPr>
      <w:r>
        <w:t xml:space="preserve">The economic model aims for a virtuous cycle:</w:t>
      </w:r>
    </w:p>
    <w:p>
      <w:pPr>
        <w:pStyle w:val="MdSpace"/>
        <w:spacing w:before="0" w:after="60"/>
      </w:pPr>
    </w:p>
    <w:p>
      <w:pPr>
        <w:pStyle w:val="MdListItem"/>
        <w:numPr>
          <w:ilvl w:val="0"/>
          <w:numId w:val="3"/>
        </w:numPr>
      </w:pPr>
      <w:r>
        <w:rPr>
          <w:rStyle w:val="MdStrong"/>
          <w:b/>
          <w:bCs/>
        </w:rPr>
        <w:t xml:space="preserve">Demand for Services:</w:t>
      </w:r>
      <w:r>
        <w:t xml:space="preserve"> Users require Securithm's security analysis and monitoring.</w:t>
      </w:r>
    </w:p>
    <w:p>
      <w:pPr>
        <w:pStyle w:val="MdListItem"/>
        <w:numPr>
          <w:ilvl w:val="0"/>
          <w:numId w:val="3"/>
        </w:numPr>
      </w:pPr>
      <w:r>
        <w:rPr>
          <w:rStyle w:val="MdStrong"/>
          <w:b/>
          <w:bCs/>
        </w:rPr>
        <w:t xml:space="preserve">Token Utility:</w:t>
      </w:r>
      <w:r>
        <w:t xml:space="preserve"> SCRT is used for payments, staking, and governance, creating demand for the token.</w:t>
      </w:r>
    </w:p>
    <w:p>
      <w:pPr>
        <w:pStyle w:val="MdListItem"/>
        <w:numPr>
          <w:ilvl w:val="0"/>
          <w:numId w:val="3"/>
        </w:numPr>
      </w:pPr>
      <w:r>
        <w:rPr>
          <w:rStyle w:val="MdStrong"/>
          <w:b/>
          <w:bCs/>
        </w:rPr>
        <w:t xml:space="preserve">Value Accrual:</w:t>
      </w:r>
      <w:r>
        <w:t xml:space="preserve"> Deflationary mechanisms and increased utility drive token value.</w:t>
      </w:r>
    </w:p>
    <w:p>
      <w:pPr>
        <w:pStyle w:val="MdListItem"/>
        <w:numPr>
          <w:ilvl w:val="0"/>
          <w:numId w:val="3"/>
        </w:numPr>
      </w:pPr>
      <w:r>
        <w:rPr>
          <w:rStyle w:val="MdStrong"/>
          <w:b/>
          <w:bCs/>
        </w:rPr>
        <w:t xml:space="preserve">Ecosystem Growth:</w:t>
      </w:r>
      <w:r>
        <w:t xml:space="preserve"> Increased token value and rewards attract more contributors and users.</w:t>
      </w:r>
    </w:p>
    <w:p>
      <w:pPr>
        <w:pStyle w:val="MdListItem"/>
        <w:numPr>
          <w:ilvl w:val="0"/>
          <w:numId w:val="3"/>
        </w:numPr>
      </w:pPr>
      <w:r>
        <w:rPr>
          <w:rStyle w:val="MdStrong"/>
          <w:b/>
          <w:bCs/>
        </w:rPr>
        <w:t xml:space="preserve">Platform Improvement:</w:t>
      </w:r>
      <w:r>
        <w:t xml:space="preserve"> Contributions and governance lead to a better platform, further increasing demand for services.</w:t>
      </w:r>
    </w:p>
    <w:p>
      <w:pPr>
        <w:pStyle w:val="MdSpace"/>
        <w:spacing w:before="0" w:after="60"/>
      </w:pPr>
    </w:p>
    <w:p>
      <w:pPr>
        <w:pStyle w:val="Heading2"/>
        <w:pStyle w:val="MdHeading2"/>
      </w:pPr>
      <w:r>
        <w:t xml:space="preserve">8. Risks and Mitigation</w:t>
      </w:r>
    </w:p>
    <w:p>
      <w:pPr>
        <w:pStyle w:val="MdListItem"/>
        <w:numPr>
          <w:ilvl w:val="0"/>
          <w:numId w:val="2"/>
        </w:numPr>
      </w:pPr>
      <w:r>
        <w:rPr>
          <w:rStyle w:val="MdStrong"/>
          <w:b/>
          <w:bCs/>
        </w:rPr>
        <w:t xml:space="preserve">Market Volatility:</w:t>
      </w:r>
      <w:r>
        <w:t xml:space="preserve"> The value of SCRT can be subject to market fluctuations. Mitigation: Focus on strong fundamentals, clear utility, and consistent platform development.</w:t>
      </w:r>
    </w:p>
    <w:p>
      <w:pPr>
        <w:pStyle w:val="MdListItem"/>
        <w:numPr>
          <w:ilvl w:val="0"/>
          <w:numId w:val="2"/>
        </w:numPr>
      </w:pPr>
      <w:r>
        <w:rPr>
          <w:rStyle w:val="MdStrong"/>
          <w:b/>
          <w:bCs/>
        </w:rPr>
        <w:t xml:space="preserve">Adoption Challenges:</w:t>
      </w:r>
      <w:r>
        <w:t xml:space="preserve"> Difficulty in convincing users to switch from fiat payments to token payments. Mitigation: Offer significant incentives (discounts, exclusive features) for token usage.</w:t>
      </w:r>
    </w:p>
    <w:p>
      <w:pPr>
        <w:pStyle w:val="MdListItem"/>
        <w:numPr>
          <w:ilvl w:val="0"/>
          <w:numId w:val="2"/>
        </w:numPr>
      </w:pPr>
      <w:r>
        <w:rPr>
          <w:rStyle w:val="MdStrong"/>
          <w:b/>
          <w:bCs/>
        </w:rPr>
        <w:t xml:space="preserve">Regulatory Uncertainty:</w:t>
      </w:r>
      <w:r>
        <w:t xml:space="preserve"> The evolving regulatory landscape for cryptocurrencies. Mitigation: Stay informed and adapt the tokenomics as necessary to comply with regulations.</w:t>
      </w:r>
    </w:p>
    <w:p>
      <w:pPr>
        <w:pStyle w:val="MdSpace"/>
        <w:spacing w:before="0" w:after="60"/>
      </w:pPr>
    </w:p>
    <w:p>
      <w:pPr>
        <w:pStyle w:val="Heading2"/>
        <w:pStyle w:val="MdHeading2"/>
      </w:pPr>
      <w:r>
        <w:t xml:space="preserve">9. Conclusion</w:t>
      </w:r>
    </w:p>
    <w:p>
      <w:pPr>
        <w:pStyle w:val="MdParagraph"/>
      </w:pPr>
      <w:r>
        <w:t xml:space="preserve">This tokenomics design for Securithm aims to create a dynamic and self-sustaining ecosystem. By integrating SCRT into core platform functionalities, incentivizing participation, and implementing robust retention mechanisms, Securithm can build a loyal user base and achieve long-term success in the smart contract security domain. This document serves as a foundational framework, and further detailed economic modeling and community feedback will refine these proposals.</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2026-07-19T09:37:12.551Z</dcterms:created>
  <dcterms:modified xsi:type="dcterms:W3CDTF">2026-07-19T09:37:12.551Z</dcterms:modified>
</cp:coreProperties>
</file>

<file path=docProps/custom.xml><?xml version="1.0" encoding="utf-8"?>
<Properties xmlns="http://schemas.openxmlformats.org/officeDocument/2006/custom-properties" xmlns:vt="http://schemas.openxmlformats.org/officeDocument/2006/docPropsVTypes"/>
</file>