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IBM HR Attrition Analytics — Project Report</w:t>
      </w:r>
    </w:p>
    <w:p>
      <w:pPr>
        <w:jc w:val="center"/>
      </w:pPr>
      <w:r>
        <w:t>Dynamic, CSV-driven HR attrition analytics project</w:t>
      </w:r>
    </w:p>
    <w:p>
      <w:pPr>
        <w:pStyle w:val="Heading1"/>
      </w:pPr>
      <w:r>
        <w:t>1. Project Overview</w:t>
      </w:r>
    </w:p>
    <w:p>
      <w:r>
        <w:t>This project analyzes employee attrition from a CSV dataset. The complete workflow is designed to be data-driven: when a different compatible CSV is uploaded, the dataset summary, charts, model metrics, employee risk scores, and report outputs are recalculated.</w:t>
      </w:r>
    </w:p>
    <w:p>
      <w:pPr>
        <w:pStyle w:val="Heading1"/>
      </w:pPr>
      <w:r>
        <w:t>2. CSV and Dataset Details</w:t>
      </w:r>
    </w:p>
    <w:p>
      <w:pPr>
        <w:jc w:val="center"/>
      </w:pPr>
      <w:r>
        <w:drawing>
          <wp:inline xmlns:a="http://schemas.openxmlformats.org/drawingml/2006/main" xmlns:pic="http://schemas.openxmlformats.org/drawingml/2006/picture">
            <wp:extent cx="6126480" cy="3101781"/>
            <wp:docPr id="1" name="Picture 1"/>
            <wp:cNvGraphicFramePr>
              <a:graphicFrameLocks noChangeAspect="1"/>
            </wp:cNvGraphicFramePr>
            <a:graphic>
              <a:graphicData uri="http://schemas.openxmlformats.org/drawingml/2006/picture">
                <pic:pic>
                  <pic:nvPicPr>
                    <pic:cNvPr id="0" name="07_project_and_csv_details.png"/>
                    <pic:cNvPicPr/>
                  </pic:nvPicPr>
                  <pic:blipFill>
                    <a:blip r:embed="rId9"/>
                    <a:stretch>
                      <a:fillRect/>
                    </a:stretch>
                  </pic:blipFill>
                  <pic:spPr>
                    <a:xfrm>
                      <a:off x="0" y="0"/>
                      <a:ext cx="6126480" cy="3101781"/>
                    </a:xfrm>
                    <a:prstGeom prst="rect"/>
                  </pic:spPr>
                </pic:pic>
              </a:graphicData>
            </a:graphic>
          </wp:inline>
        </w:drawing>
      </w:r>
    </w:p>
    <w:p>
      <w:r>
        <w:t>The supplied CSV contains 1,470 rows and 35 columns. The attrition target is the 'Attrition' column with values ['No', 'Yes']. The notebook includes validation and the backend accepts CSV upload so analysis can be refreshed for a new file.</w:t>
      </w:r>
    </w:p>
    <w:p>
      <w:pPr>
        <w:pStyle w:val="Heading1"/>
      </w:pPr>
      <w:r>
        <w:t>3. Current Analysis Results</w:t>
      </w:r>
    </w:p>
    <w:p>
      <w:pPr>
        <w:jc w:val="center"/>
      </w:pPr>
      <w:r>
        <w:drawing>
          <wp:inline xmlns:a="http://schemas.openxmlformats.org/drawingml/2006/main" xmlns:pic="http://schemas.openxmlformats.org/drawingml/2006/picture">
            <wp:extent cx="6126480" cy="3171673"/>
            <wp:docPr id="2" name="Picture 2"/>
            <wp:cNvGraphicFramePr>
              <a:graphicFrameLocks noChangeAspect="1"/>
            </wp:cNvGraphicFramePr>
            <a:graphic>
              <a:graphicData uri="http://schemas.openxmlformats.org/drawingml/2006/picture">
                <pic:pic>
                  <pic:nvPicPr>
                    <pic:cNvPr id="0" name="06_analysis_results_summary.png"/>
                    <pic:cNvPicPr/>
                  </pic:nvPicPr>
                  <pic:blipFill>
                    <a:blip r:embed="rId10"/>
                    <a:stretch>
                      <a:fillRect/>
                    </a:stretch>
                  </pic:blipFill>
                  <pic:spPr>
                    <a:xfrm>
                      <a:off x="0" y="0"/>
                      <a:ext cx="6126480" cy="3171673"/>
                    </a:xfrm>
                    <a:prstGeom prst="rect"/>
                  </pic:spPr>
                </pic:pic>
              </a:graphicData>
            </a:graphic>
          </wp:inline>
        </w:drawing>
      </w:r>
    </w:p>
    <w:p>
      <w:pPr>
        <w:pStyle w:val="Heading1"/>
      </w:pPr>
      <w:r>
        <w:t>4. Graphical Analysis</w:t>
      </w:r>
    </w:p>
    <w:p>
      <w:r>
        <w:t>01 Attrition By Tenure</w:t>
      </w:r>
    </w:p>
    <w:p>
      <w:pPr>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01_attrition_by_tenure.png"/>
                    <pic:cNvPicPr/>
                  </pic:nvPicPr>
                  <pic:blipFill>
                    <a:blip r:embed="rId11"/>
                    <a:stretch>
                      <a:fillRect/>
                    </a:stretch>
                  </pic:blipFill>
                  <pic:spPr>
                    <a:xfrm>
                      <a:off x="0" y="0"/>
                      <a:ext cx="5943600" cy="3714750"/>
                    </a:xfrm>
                    <a:prstGeom prst="rect"/>
                  </pic:spPr>
                </pic:pic>
              </a:graphicData>
            </a:graphic>
          </wp:inline>
        </w:drawing>
      </w:r>
    </w:p>
    <w:p>
      <w:r>
        <w:t>02 Attrition By Department</w:t>
      </w:r>
    </w:p>
    <w:p>
      <w:pPr>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02_attrition_by_department.png"/>
                    <pic:cNvPicPr/>
                  </pic:nvPicPr>
                  <pic:blipFill>
                    <a:blip r:embed="rId12"/>
                    <a:stretch>
                      <a:fillRect/>
                    </a:stretch>
                  </pic:blipFill>
                  <pic:spPr>
                    <a:xfrm>
                      <a:off x="0" y="0"/>
                      <a:ext cx="5943600" cy="3714750"/>
                    </a:xfrm>
                    <a:prstGeom prst="rect"/>
                  </pic:spPr>
                </pic:pic>
              </a:graphicData>
            </a:graphic>
          </wp:inline>
        </w:drawing>
      </w:r>
    </w:p>
    <w:p>
      <w:r>
        <w:t>03 Attrition By Overtime</w:t>
      </w:r>
    </w:p>
    <w:p>
      <w:pPr>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03_attrition_by_overtime.png"/>
                    <pic:cNvPicPr/>
                  </pic:nvPicPr>
                  <pic:blipFill>
                    <a:blip r:embed="rId13"/>
                    <a:stretch>
                      <a:fillRect/>
                    </a:stretch>
                  </pic:blipFill>
                  <pic:spPr>
                    <a:xfrm>
                      <a:off x="0" y="0"/>
                      <a:ext cx="5943600" cy="3714750"/>
                    </a:xfrm>
                    <a:prstGeom prst="rect"/>
                  </pic:spPr>
                </pic:pic>
              </a:graphicData>
            </a:graphic>
          </wp:inline>
        </w:drawing>
      </w:r>
    </w:p>
    <w:p>
      <w:r>
        <w:t>04 Attrition By Role</w:t>
      </w:r>
    </w:p>
    <w:p>
      <w:pPr>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04_attrition_by_role.png"/>
                    <pic:cNvPicPr/>
                  </pic:nvPicPr>
                  <pic:blipFill>
                    <a:blip r:embed="rId14"/>
                    <a:stretch>
                      <a:fillRect/>
                    </a:stretch>
                  </pic:blipFill>
                  <pic:spPr>
                    <a:xfrm>
                      <a:off x="0" y="0"/>
                      <a:ext cx="5943600" cy="3714750"/>
                    </a:xfrm>
                    <a:prstGeom prst="rect"/>
                  </pic:spPr>
                </pic:pic>
              </a:graphicData>
            </a:graphic>
          </wp:inline>
        </w:drawing>
      </w:r>
    </w:p>
    <w:p>
      <w:r>
        <w:t>05 Attrition Split Overtime</w:t>
      </w:r>
    </w:p>
    <w:p>
      <w:pPr>
        <w:jc w:val="center"/>
      </w:pPr>
      <w:r>
        <w:drawing>
          <wp:inline xmlns:a="http://schemas.openxmlformats.org/drawingml/2006/main" xmlns:pic="http://schemas.openxmlformats.org/drawingml/2006/picture">
            <wp:extent cx="5943600" cy="4245429"/>
            <wp:docPr id="7" name="Picture 7"/>
            <wp:cNvGraphicFramePr>
              <a:graphicFrameLocks noChangeAspect="1"/>
            </wp:cNvGraphicFramePr>
            <a:graphic>
              <a:graphicData uri="http://schemas.openxmlformats.org/drawingml/2006/picture">
                <pic:pic>
                  <pic:nvPicPr>
                    <pic:cNvPr id="0" name="05_attrition_split_overtime.png"/>
                    <pic:cNvPicPr/>
                  </pic:nvPicPr>
                  <pic:blipFill>
                    <a:blip r:embed="rId15"/>
                    <a:stretch>
                      <a:fillRect/>
                    </a:stretch>
                  </pic:blipFill>
                  <pic:spPr>
                    <a:xfrm>
                      <a:off x="0" y="0"/>
                      <a:ext cx="5943600" cy="4245429"/>
                    </a:xfrm>
                    <a:prstGeom prst="rect"/>
                  </pic:spPr>
                </pic:pic>
              </a:graphicData>
            </a:graphic>
          </wp:inline>
        </w:drawing>
      </w:r>
    </w:p>
    <w:p>
      <w:pPr>
        <w:pStyle w:val="Heading1"/>
      </w:pPr>
      <w:r>
        <w:t>5. Model Results</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Accuracy</w:t>
            </w:r>
          </w:p>
        </w:tc>
        <w:tc>
          <w:tcPr>
            <w:tcW w:type="dxa" w:w="4320"/>
          </w:tcPr>
          <w:p>
            <w:r>
              <w:t>0.7551</w:t>
            </w:r>
          </w:p>
        </w:tc>
      </w:tr>
      <w:tr>
        <w:tc>
          <w:tcPr>
            <w:tcW w:type="dxa" w:w="4320"/>
          </w:tcPr>
          <w:p>
            <w:r>
              <w:t>Precision</w:t>
            </w:r>
          </w:p>
        </w:tc>
        <w:tc>
          <w:tcPr>
            <w:tcW w:type="dxa" w:w="4320"/>
          </w:tcPr>
          <w:p>
            <w:r>
              <w:t>0.3563</w:t>
            </w:r>
          </w:p>
        </w:tc>
      </w:tr>
      <w:tr>
        <w:tc>
          <w:tcPr>
            <w:tcW w:type="dxa" w:w="4320"/>
          </w:tcPr>
          <w:p>
            <w:r>
              <w:t>Recall</w:t>
            </w:r>
          </w:p>
        </w:tc>
        <w:tc>
          <w:tcPr>
            <w:tcW w:type="dxa" w:w="4320"/>
          </w:tcPr>
          <w:p>
            <w:r>
              <w:t>0.6596</w:t>
            </w:r>
          </w:p>
        </w:tc>
      </w:tr>
      <w:tr>
        <w:tc>
          <w:tcPr>
            <w:tcW w:type="dxa" w:w="4320"/>
          </w:tcPr>
          <w:p>
            <w:r>
              <w:t>Roc Auc</w:t>
            </w:r>
          </w:p>
        </w:tc>
        <w:tc>
          <w:tcPr>
            <w:tcW w:type="dxa" w:w="4320"/>
          </w:tcPr>
          <w:p>
            <w:r>
              <w:t>0.7958</w:t>
            </w:r>
          </w:p>
        </w:tc>
      </w:tr>
    </w:tbl>
    <w:p>
      <w:r>
        <w:t>Train records: 1,176; test records: 294.</w:t>
      </w:r>
    </w:p>
    <w:p>
      <w:r>
        <w:t>Confusion matrix: [[191, 56], [16, 31]].</w:t>
      </w:r>
    </w:p>
    <w:p>
      <w:pPr>
        <w:pStyle w:val="Heading1"/>
      </w:pPr>
      <w:r>
        <w:t>6. Generated Project Files</w:t>
      </w:r>
    </w:p>
    <w:p>
      <w:r>
        <w:t>The project includes the all-in-one Jupyter notebook, backend API, frontend application, input CSV, cleaned dataset, analysis figures, model metrics, employee risk scores, DOCX report, and PPTX executive summary.</w:t>
      </w:r>
    </w:p>
    <w:p>
      <w:pPr>
        <w:pStyle w:val="Heading1"/>
      </w:pPr>
      <w:r>
        <w:t>7. Dynamic CSV Behavior</w:t>
      </w:r>
    </w:p>
    <w:p>
      <w:r>
        <w:t>Dataset-dependent values must not be treated as hard-coded. Uploading a different compatible CSV changes the active population and causes the analytics pipeline to recompute the descriptive statistics, graphs, model results, and risk scores. The document outputs shown here represent the currently supplied CSV.</w:t>
      </w:r>
    </w:p>
    <w:p>
      <w:pPr>
        <w:pStyle w:val="Heading1"/>
      </w:pPr>
      <w:r>
        <w:t>8. Reproducibility</w:t>
      </w:r>
    </w:p>
    <w:p>
      <w:r>
        <w:t>Run the all-in-one notebook to regenerate the figures, analysis summary, metrics, and risk scores. The backend upload endpoint provides the application-side path for loading a new 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