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IBM HR Employee Attrition Analytics</w:t>
      </w:r>
    </w:p>
    <w:p>
      <w:pPr>
        <w:jc w:val="center"/>
      </w:pPr>
      <w:r>
        <w:rPr>
          <w:i/>
        </w:rPr>
        <w:t>End-to-end data preparation, exploratory analysis, and attrition prioritization</w:t>
      </w:r>
    </w:p>
    <w:p>
      <w:r>
        <w:t>Dataset reference: Kaggle — IBM HR Employee Attrition Analysis. This report adapts the supplied project roadmap from e-commerce to workforce retention.</w:t>
      </w:r>
    </w:p>
    <w:p>
      <w:pPr>
        <w:pStyle w:val="Heading1"/>
      </w:pPr>
      <w:r>
        <w:t>1. Executive Summary</w:t>
      </w:r>
    </w:p>
    <w:p>
      <w:r>
        <w:t>The dataset contains 1,470 employee records and an observed attrition rate of 16.12%. The analysis identifies overtime, early-career tenure, lower satisfaction signals, limited stock-option coverage, and mobility/commute context as useful prioritization signals. Overtime is the clearest descriptive split: the observed attrition rate is 30.5% for employees working overtime versus 10.4% for those who do not.</w:t>
      </w:r>
    </w:p>
    <w:p>
      <w:r>
        <w:t>The Logistic Regression model is intentionally explainable and evaluated on a held-out stratified test set. Its probabilities are used to focus human review and retention conversations; they are not causal explanations and must not be used as automatic employment decisions.</w:t>
      </w:r>
    </w:p>
    <w:p>
      <w:pPr>
        <w:pStyle w:val="Heading1"/>
      </w:pPr>
      <w:r>
        <w:t>2. Problem Statement and Objectives</w:t>
      </w:r>
    </w:p>
    <w:p>
      <w:r>
        <w:t>Organizations need an evidence-based way to understand where attrition is concentrated and which employee groups warrant a closer retention conversation. This project addresses that need by cleaning the IBM HR dataset, quantifying descriptive drivers, training a transparent baseline classifier, and surfacing a ranked review queue.</w:t>
      </w:r>
    </w:p>
    <w:p>
      <w:pPr>
        <w:pStyle w:val="ListBullet"/>
      </w:pPr>
      <w:r>
        <w:t>Standardize the Kaggle export and document data quality.</w:t>
      </w:r>
    </w:p>
    <w:p>
      <w:pPr>
        <w:pStyle w:val="ListBullet"/>
      </w:pPr>
      <w:r>
        <w:t>Compare attrition across departments, roles, overtime, tenure, satisfaction, and mobility context.</w:t>
      </w:r>
    </w:p>
    <w:p>
      <w:pPr>
        <w:pStyle w:val="ListBullet"/>
      </w:pPr>
      <w:r>
        <w:t>Separate model inputs from the target and evaluate on held-out data.</w:t>
      </w:r>
    </w:p>
    <w:p>
      <w:pPr>
        <w:pStyle w:val="ListBullet"/>
      </w:pPr>
      <w:r>
        <w:t>Produce operational risk tiers with a clear human-review guardrail.</w:t>
      </w:r>
    </w:p>
    <w:p>
      <w:pPr>
        <w:pStyle w:val="Heading1"/>
      </w:pPr>
      <w:r>
        <w:t>3. Dataset Overview and Data Dictionary</w:t>
      </w:r>
    </w:p>
    <w:p>
      <w:r>
        <w:t>The source has 1,470 rows and 35 source fields. There are no missing values in the downloaded file, but the pipeline still contains explicit missing-value handling for portability.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Role</w:t>
            </w:r>
          </w:p>
        </w:tc>
        <w:tc>
          <w:tcPr>
            <w:tcW w:type="dxa" w:w="2520"/>
          </w:tcPr>
          <w:p>
            <w:r>
              <w:t>Meaning</w:t>
            </w:r>
          </w:p>
        </w:tc>
      </w:tr>
      <w:tr>
        <w:tc>
          <w:tcPr>
            <w:tcW w:type="dxa" w:w="2520"/>
          </w:tcPr>
          <w:p>
            <w:r>
              <w:t>Attrition</w:t>
            </w:r>
          </w:p>
        </w:tc>
        <w:tc>
          <w:tcPr>
            <w:tcW w:type="dxa" w:w="2520"/>
          </w:tcPr>
          <w:p>
            <w:r>
              <w:t>Categorical</w:t>
            </w:r>
          </w:p>
        </w:tc>
        <w:tc>
          <w:tcPr>
            <w:tcW w:type="dxa" w:w="2520"/>
          </w:tcPr>
          <w:p>
            <w:r>
              <w:t>Target</w:t>
            </w:r>
          </w:p>
        </w:tc>
        <w:tc>
          <w:tcPr>
            <w:tcW w:type="dxa" w:w="2520"/>
          </w:tcPr>
          <w:p>
            <w:r>
              <w:t>Historical Yes/No attrition label</w:t>
            </w:r>
          </w:p>
        </w:tc>
      </w:tr>
      <w:tr>
        <w:tc>
          <w:tcPr>
            <w:tcW w:type="dxa" w:w="2520"/>
          </w:tcPr>
          <w:p>
            <w:r>
              <w:t>EmployeeNumber</w:t>
            </w:r>
          </w:p>
        </w:tc>
        <w:tc>
          <w:tcPr>
            <w:tcW w:type="dxa" w:w="2520"/>
          </w:tcPr>
          <w:p>
            <w:r>
              <w:t>Identifier</w:t>
            </w:r>
          </w:p>
        </w:tc>
        <w:tc>
          <w:tcPr>
            <w:tcW w:type="dxa" w:w="2520"/>
          </w:tcPr>
          <w:p>
            <w:r>
              <w:t>Key</w:t>
            </w:r>
          </w:p>
        </w:tc>
        <w:tc>
          <w:tcPr>
            <w:tcW w:type="dxa" w:w="2520"/>
          </w:tcPr>
          <w:p>
            <w:r>
              <w:t>Employee identifier</w:t>
            </w:r>
          </w:p>
        </w:tc>
      </w:tr>
      <w:tr>
        <w:tc>
          <w:tcPr>
            <w:tcW w:type="dxa" w:w="2520"/>
          </w:tcPr>
          <w:p>
            <w:r>
              <w:t>Department / JobRole</w:t>
            </w:r>
          </w:p>
        </w:tc>
        <w:tc>
          <w:tcPr>
            <w:tcW w:type="dxa" w:w="2520"/>
          </w:tcPr>
          <w:p>
            <w:r>
              <w:t>Categorical</w:t>
            </w:r>
          </w:p>
        </w:tc>
        <w:tc>
          <w:tcPr>
            <w:tcW w:type="dxa" w:w="2520"/>
          </w:tcPr>
          <w:p>
            <w:r>
              <w:t>Segment</w:t>
            </w:r>
          </w:p>
        </w:tc>
        <w:tc>
          <w:tcPr>
            <w:tcW w:type="dxa" w:w="2520"/>
          </w:tcPr>
          <w:p>
            <w:r>
              <w:t>Organizational context</w:t>
            </w:r>
          </w:p>
        </w:tc>
      </w:tr>
      <w:tr>
        <w:tc>
          <w:tcPr>
            <w:tcW w:type="dxa" w:w="2520"/>
          </w:tcPr>
          <w:p>
            <w:r>
              <w:t>OverTime</w:t>
            </w:r>
          </w:p>
        </w:tc>
        <w:tc>
          <w:tcPr>
            <w:tcW w:type="dxa" w:w="2520"/>
          </w:tcPr>
          <w:p>
            <w:r>
              <w:t>Categorical</w:t>
            </w:r>
          </w:p>
        </w:tc>
        <w:tc>
          <w:tcPr>
            <w:tcW w:type="dxa" w:w="2520"/>
          </w:tcPr>
          <w:p>
            <w:r>
              <w:t>Driver</w:t>
            </w:r>
          </w:p>
        </w:tc>
        <w:tc>
          <w:tcPr>
            <w:tcW w:type="dxa" w:w="2520"/>
          </w:tcPr>
          <w:p>
            <w:r>
              <w:t>Work pattern signal</w:t>
            </w:r>
          </w:p>
        </w:tc>
      </w:tr>
      <w:tr>
        <w:tc>
          <w:tcPr>
            <w:tcW w:type="dxa" w:w="2520"/>
          </w:tcPr>
          <w:p>
            <w:r>
              <w:t>MonthlyIncome</w:t>
            </w:r>
          </w:p>
        </w:tc>
        <w:tc>
          <w:tcPr>
            <w:tcW w:type="dxa" w:w="2520"/>
          </w:tcPr>
          <w:p>
            <w:r>
              <w:t>Numeric</w:t>
            </w:r>
          </w:p>
        </w:tc>
        <w:tc>
          <w:tcPr>
            <w:tcW w:type="dxa" w:w="2520"/>
          </w:tcPr>
          <w:p>
            <w:r>
              <w:t>Feature</w:t>
            </w:r>
          </w:p>
        </w:tc>
        <w:tc>
          <w:tcPr>
            <w:tcW w:type="dxa" w:w="2520"/>
          </w:tcPr>
          <w:p>
            <w:r>
              <w:t>Monthly income amount</w:t>
            </w:r>
          </w:p>
        </w:tc>
      </w:tr>
      <w:tr>
        <w:tc>
          <w:tcPr>
            <w:tcW w:type="dxa" w:w="2520"/>
          </w:tcPr>
          <w:p>
            <w:r>
              <w:t>YearsAtCompany</w:t>
            </w:r>
          </w:p>
        </w:tc>
        <w:tc>
          <w:tcPr>
            <w:tcW w:type="dxa" w:w="2520"/>
          </w:tcPr>
          <w:p>
            <w:r>
              <w:t>Numeric</w:t>
            </w:r>
          </w:p>
        </w:tc>
        <w:tc>
          <w:tcPr>
            <w:tcW w:type="dxa" w:w="2520"/>
          </w:tcPr>
          <w:p>
            <w:r>
              <w:t>Feature</w:t>
            </w:r>
          </w:p>
        </w:tc>
        <w:tc>
          <w:tcPr>
            <w:tcW w:type="dxa" w:w="2520"/>
          </w:tcPr>
          <w:p>
            <w:r>
              <w:t>Tenure at the company</w:t>
            </w:r>
          </w:p>
        </w:tc>
      </w:tr>
      <w:tr>
        <w:tc>
          <w:tcPr>
            <w:tcW w:type="dxa" w:w="2520"/>
          </w:tcPr>
          <w:p>
            <w:r>
              <w:t>JobSatisfaction / EnvironmentSatisfaction / WorkLifeBalance</w:t>
            </w:r>
          </w:p>
        </w:tc>
        <w:tc>
          <w:tcPr>
            <w:tcW w:type="dxa" w:w="2520"/>
          </w:tcPr>
          <w:p>
            <w:r>
              <w:t>Ordinal</w:t>
            </w:r>
          </w:p>
        </w:tc>
        <w:tc>
          <w:tcPr>
            <w:tcW w:type="dxa" w:w="2520"/>
          </w:tcPr>
          <w:p>
            <w:r>
              <w:t>Feature</w:t>
            </w:r>
          </w:p>
        </w:tc>
        <w:tc>
          <w:tcPr>
            <w:tcW w:type="dxa" w:w="2520"/>
          </w:tcPr>
          <w:p>
            <w:r>
              <w:t>1–4 satisfaction inputs</w:t>
            </w:r>
          </w:p>
        </w:tc>
      </w:tr>
      <w:tr>
        <w:tc>
          <w:tcPr>
            <w:tcW w:type="dxa" w:w="2520"/>
          </w:tcPr>
          <w:p>
            <w:r>
              <w:t>JobLevel / StockOptionLevel</w:t>
            </w:r>
          </w:p>
        </w:tc>
        <w:tc>
          <w:tcPr>
            <w:tcW w:type="dxa" w:w="2520"/>
          </w:tcPr>
          <w:p>
            <w:r>
              <w:t>Ordinal</w:t>
            </w:r>
          </w:p>
        </w:tc>
        <w:tc>
          <w:tcPr>
            <w:tcW w:type="dxa" w:w="2520"/>
          </w:tcPr>
          <w:p>
            <w:r>
              <w:t>Feature</w:t>
            </w:r>
          </w:p>
        </w:tc>
        <w:tc>
          <w:tcPr>
            <w:tcW w:type="dxa" w:w="2520"/>
          </w:tcPr>
          <w:p>
            <w:r>
              <w:t>Role level and equity context</w:t>
            </w:r>
          </w:p>
        </w:tc>
      </w:tr>
    </w:tbl>
    <w:p>
      <w:pPr>
        <w:pStyle w:val="Heading1"/>
      </w:pPr>
      <w:r>
        <w:t>4. Phase 1 — Data Preprocessing</w:t>
      </w:r>
    </w:p>
    <w:p>
      <w:pPr>
        <w:pStyle w:val="ListBullet"/>
      </w:pPr>
      <w:r>
        <w:t>Removed duplicate rows and normalized the UTF-8 BOM in the first header.</w:t>
      </w:r>
    </w:p>
    <w:p>
      <w:pPr>
        <w:pStyle w:val="ListBullet"/>
      </w:pPr>
      <w:r>
        <w:t>Trimmed categorical text and replaced blank categorical values with Unknown.</w:t>
      </w:r>
    </w:p>
    <w:p>
      <w:pPr>
        <w:pStyle w:val="ListBullet"/>
      </w:pPr>
      <w:r>
        <w:t>Coerced numeric features and used medians for any future numeric missingness.</w:t>
      </w:r>
    </w:p>
    <w:p>
      <w:pPr>
        <w:pStyle w:val="ListBullet"/>
      </w:pPr>
      <w:r>
        <w:t>Created AttritionFlag = 1 when Attrition is Yes and 0 otherwise.</w:t>
      </w:r>
    </w:p>
    <w:p>
      <w:pPr>
        <w:pStyle w:val="ListBullet"/>
      </w:pPr>
      <w:r>
        <w:t>Preserved the original source fields and wrote a cleaned CSV to outputs/.</w:t>
      </w:r>
    </w:p>
    <w:p>
      <w:pPr>
        <w:pStyle w:val="Heading1"/>
      </w:pPr>
      <w:r>
        <w:t>5. Phase 2 — Exploratory Analysis</w:t>
      </w:r>
    </w:p>
    <w:p>
      <w:r>
        <w:t>Each visualization is read using the required observation → insight → hypothesis → recommendation framework.</w:t>
      </w:r>
    </w:p>
    <w:p>
      <w:pPr>
        <w:pStyle w:val="Heading3"/>
      </w:pPr>
      <w:r>
        <w:t>Work pattern exposure</w:t>
      </w:r>
    </w:p>
    <w:p>
      <w:r>
        <w:rPr>
          <w:b/>
        </w:rPr>
        <w:t xml:space="preserve">Observation: </w:t>
      </w:r>
      <w:r>
        <w:t>Observation: overtime employees show 30.5% observed attrition versus 10.4% without overtime.</w:t>
      </w:r>
    </w:p>
    <w:p>
      <w:r>
        <w:rPr>
          <w:b/>
        </w:rPr>
        <w:t xml:space="preserve">Insight: </w:t>
      </w:r>
      <w:r>
        <w:t>Insight: workload and schedule sustainability are important retention lenses.</w:t>
      </w:r>
    </w:p>
    <w:p>
      <w:r>
        <w:rPr>
          <w:b/>
        </w:rPr>
        <w:t xml:space="preserve">Hypothesis: </w:t>
      </w:r>
      <w:r>
        <w:t>Hypothesis: sustained overtime may reduce work-life balance or increase burnout risk.</w:t>
      </w:r>
    </w:p>
    <w:p>
      <w:r>
        <w:rPr>
          <w:b/>
        </w:rPr>
        <w:t xml:space="preserve">Recommendation: </w:t>
      </w:r>
      <w:r>
        <w:t>Recommendation: review overtime concentration by role and manager, then test workload-balancing interventions.</w:t>
      </w:r>
    </w:p>
    <w:p>
      <w:pPr>
        <w:pStyle w:val="Heading3"/>
      </w:pPr>
      <w:r>
        <w:t>Department comparison</w:t>
      </w:r>
    </w:p>
    <w:p>
      <w:r>
        <w:rPr>
          <w:b/>
        </w:rPr>
        <w:t xml:space="preserve">Observation: </w:t>
      </w:r>
      <w:r>
        <w:t>Observation: Sales has the highest observed department-level attrition rate in this dataset.</w:t>
      </w:r>
    </w:p>
    <w:p>
      <w:r>
        <w:rPr>
          <w:b/>
        </w:rPr>
        <w:t xml:space="preserve">Insight: </w:t>
      </w:r>
      <w:r>
        <w:t>Insight: retention actions should be targeted rather than organization-wide by default.</w:t>
      </w:r>
    </w:p>
    <w:p>
      <w:r>
        <w:rPr>
          <w:b/>
        </w:rPr>
        <w:t xml:space="preserve">Hypothesis: </w:t>
      </w:r>
      <w:r>
        <w:t>Hypothesis: local role mix, workload, and manager context may explain the difference.</w:t>
      </w:r>
    </w:p>
    <w:p>
      <w:r>
        <w:rPr>
          <w:b/>
        </w:rPr>
        <w:t xml:space="preserve">Recommendation: </w:t>
      </w:r>
      <w:r>
        <w:t>Recommendation: pair department-level comparisons with role and sample-size context before acting.</w:t>
      </w:r>
    </w:p>
    <w:p>
      <w:pPr>
        <w:pStyle w:val="Heading3"/>
      </w:pPr>
      <w:r>
        <w:t>Job-role concentration</w:t>
      </w:r>
    </w:p>
    <w:p>
      <w:r>
        <w:rPr>
          <w:b/>
        </w:rPr>
        <w:t xml:space="preserve">Observation: </w:t>
      </w:r>
      <w:r>
        <w:t>Observation: Sales Representative has the highest observed role-level attrition rate.</w:t>
      </w:r>
    </w:p>
    <w:p>
      <w:r>
        <w:rPr>
          <w:b/>
        </w:rPr>
        <w:t xml:space="preserve">Insight: </w:t>
      </w:r>
      <w:r>
        <w:t>Insight: smaller role groups can carry disproportionately high risk signals.</w:t>
      </w:r>
    </w:p>
    <w:p>
      <w:r>
        <w:rPr>
          <w:b/>
        </w:rPr>
        <w:t xml:space="preserve">Hypothesis: </w:t>
      </w:r>
      <w:r>
        <w:t>Hypothesis: career path clarity, scheduling, or role-specific labor-market pressure may contribute.</w:t>
      </w:r>
    </w:p>
    <w:p>
      <w:r>
        <w:rPr>
          <w:b/>
        </w:rPr>
        <w:t xml:space="preserve">Recommendation: </w:t>
      </w:r>
      <w:r>
        <w:t>Recommendation: conduct qualitative listening sessions before designing role-specific interventions.</w:t>
      </w:r>
    </w:p>
    <w:p>
      <w:pPr>
        <w:pStyle w:val="Heading3"/>
      </w:pPr>
      <w:r>
        <w:t>Tenure and early-career context</w:t>
      </w:r>
    </w:p>
    <w:p>
      <w:r>
        <w:rPr>
          <w:b/>
        </w:rPr>
        <w:t xml:space="preserve">Observation: </w:t>
      </w:r>
      <w:r>
        <w:t>Observation: the pipeline explicitly separates early tenure from longer-tenured employee profiles.</w:t>
      </w:r>
    </w:p>
    <w:p>
      <w:r>
        <w:rPr>
          <w:b/>
        </w:rPr>
        <w:t xml:space="preserve">Insight: </w:t>
      </w:r>
      <w:r>
        <w:t>Insight: onboarding and the first manager relationship are actionable retention moments.</w:t>
      </w:r>
    </w:p>
    <w:p>
      <w:r>
        <w:rPr>
          <w:b/>
        </w:rPr>
        <w:t xml:space="preserve">Hypothesis: </w:t>
      </w:r>
      <w:r>
        <w:t>Hypothesis: new employees have less organizational attachment and less role clarity.</w:t>
      </w:r>
    </w:p>
    <w:p>
      <w:r>
        <w:rPr>
          <w:b/>
        </w:rPr>
        <w:t xml:space="preserve">Recommendation: </w:t>
      </w:r>
      <w:r>
        <w:t>Recommendation: add 30/60/90-day check-ins and a six-month internal mobility conversation.</w:t>
      </w:r>
    </w:p>
    <w:p>
      <w:pPr>
        <w:pStyle w:val="Heading3"/>
      </w:pPr>
      <w:r>
        <w:t>Satisfaction signals</w:t>
      </w:r>
    </w:p>
    <w:p>
      <w:r>
        <w:rPr>
          <w:b/>
        </w:rPr>
        <w:t xml:space="preserve">Observation: </w:t>
      </w:r>
      <w:r>
        <w:t>Observation: job satisfaction, environment satisfaction, and work-life balance are available as interpretable 1–4 inputs.</w:t>
      </w:r>
    </w:p>
    <w:p>
      <w:r>
        <w:rPr>
          <w:b/>
        </w:rPr>
        <w:t xml:space="preserve">Insight: </w:t>
      </w:r>
      <w:r>
        <w:t>Insight: employee listening data can complement operational signals such as overtime and commute.</w:t>
      </w:r>
    </w:p>
    <w:p>
      <w:r>
        <w:rPr>
          <w:b/>
        </w:rPr>
        <w:t xml:space="preserve">Hypothesis: </w:t>
      </w:r>
      <w:r>
        <w:t>Hypothesis: low satisfaction may amplify the effect of workload and limited progression.</w:t>
      </w:r>
    </w:p>
    <w:p>
      <w:r>
        <w:rPr>
          <w:b/>
        </w:rPr>
        <w:t xml:space="preserve">Recommendation: </w:t>
      </w:r>
      <w:r>
        <w:t>Recommendation: use survey follow-up as a conversation starter, not as a deterministic score.</w:t>
      </w:r>
    </w:p>
    <w:p>
      <w:pPr>
        <w:pStyle w:val="Heading1"/>
      </w:pPr>
      <w:r>
        <w:t>6. Phase 3 — Feature Engineering and Leakage Safeguards</w:t>
      </w:r>
    </w:p>
    <w:p>
      <w:r>
        <w:t>Unlike the e-commerce RFM example in the supplied roadmap, the IBM HR file is an employee-level snapshot and has no transaction date or customer entity. Therefore, this implementation uses employee-level operational and satisfaction features rather than inventing time windows or pseudo-RFM fields.</w:t>
      </w:r>
    </w:p>
    <w:p>
      <w:r>
        <w:t>The target column Attrition is excluded from model inputs. A stratified 80/20 split keeps the historical class balance similar in training and test sets. All scaling and one-hot encoding are fit inside the training pipeline to prevent preprocessing leakage.</w:t>
      </w:r>
    </w:p>
    <w:p>
      <w:pPr>
        <w:pStyle w:val="Heading1"/>
      </w:pPr>
      <w:r>
        <w:t>7. Phase 4 — Logistic Regression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75.5%</w:t>
            </w:r>
          </w:p>
        </w:tc>
      </w:tr>
      <w:tr>
        <w:tc>
          <w:tcPr>
            <w:tcW w:type="dxa" w:w="5040"/>
          </w:tcPr>
          <w:p>
            <w:r>
              <w:t>Precision</w:t>
            </w:r>
          </w:p>
        </w:tc>
        <w:tc>
          <w:tcPr>
            <w:tcW w:type="dxa" w:w="5040"/>
          </w:tcPr>
          <w:p>
            <w:r>
              <w:t>35.6%</w:t>
            </w:r>
          </w:p>
        </w:tc>
      </w:tr>
      <w:tr>
        <w:tc>
          <w:tcPr>
            <w:tcW w:type="dxa" w:w="5040"/>
          </w:tcPr>
          <w:p>
            <w:r>
              <w:t>Recall</w:t>
            </w:r>
          </w:p>
        </w:tc>
        <w:tc>
          <w:tcPr>
            <w:tcW w:type="dxa" w:w="5040"/>
          </w:tcPr>
          <w:p>
            <w:r>
              <w:t>66.0%</w:t>
            </w:r>
          </w:p>
        </w:tc>
      </w:tr>
      <w:tr>
        <w:tc>
          <w:tcPr>
            <w:tcW w:type="dxa" w:w="5040"/>
          </w:tcPr>
          <w:p>
            <w:r>
              <w:t>ROC AUC</w:t>
            </w:r>
          </w:p>
        </w:tc>
        <w:tc>
          <w:tcPr>
            <w:tcW w:type="dxa" w:w="5040"/>
          </w:tcPr>
          <w:p>
            <w:r>
              <w:t>0.796</w:t>
            </w:r>
          </w:p>
        </w:tc>
      </w:tr>
      <w:tr>
        <w:tc>
          <w:tcPr>
            <w:tcW w:type="dxa" w:w="5040"/>
          </w:tcPr>
          <w:p>
            <w:r>
              <w:t>Train / test records</w:t>
            </w:r>
          </w:p>
        </w:tc>
        <w:tc>
          <w:tcPr>
            <w:tcW w:type="dxa" w:w="5040"/>
          </w:tcPr>
          <w:p>
            <w:r>
              <w:t>1,176 / 294</w:t>
            </w:r>
          </w:p>
        </w:tc>
      </w:tr>
    </w:tbl>
    <w:p>
      <w:r>
        <w:t>Confusion matrix (rows = actual, columns = predicted): TN=191, FP=56, FN=16, TP=31.</w:t>
      </w:r>
    </w:p>
    <w:p>
      <w:r>
        <w:t>Recall is especially important for a retention review queue because false negatives represent historical attrition cases that the model did not surface. Precision still matters because an overly broad queue can waste HR attention and create poor employee experiences.</w:t>
      </w:r>
    </w:p>
    <w:p>
      <w:pPr>
        <w:pStyle w:val="Heading1"/>
      </w:pPr>
      <w:r>
        <w:t>8. Phase 5 — Risk Tiers and Dashboard</w:t>
      </w:r>
    </w:p>
    <w:p>
      <w:r>
        <w:t>The generated scores produce 229 High, 360 Medium, and 881 Low probability records using the supplied thresholds: High &gt;70%, Medium 40–70%, and Low &lt;40%.</w:t>
      </w:r>
    </w:p>
    <w:p>
      <w:pPr>
        <w:pStyle w:val="ListBullet"/>
      </w:pPr>
      <w:r>
        <w:t>High: prioritize a human-led check-in, workload review, and career-path conversation.</w:t>
      </w:r>
    </w:p>
    <w:p>
      <w:pPr>
        <w:pStyle w:val="ListBullet"/>
      </w:pPr>
      <w:r>
        <w:t>Medium: offer targeted listening, manager support, and relevant development resources.</w:t>
      </w:r>
    </w:p>
    <w:p>
      <w:pPr>
        <w:pStyle w:val="ListBullet"/>
      </w:pPr>
      <w:r>
        <w:t>Low: continue standard engagement and monitor aggregate changes rather than individual action.</w:t>
      </w:r>
    </w:p>
    <w:p>
      <w:r>
        <w:t>The dashboard uses the same source CSV and adds filters, chart-level CSV exports, a searchable risk table, a dark-mode toggle, print/PDF support, and refresh controls with a five-minute minimum interval.</w:t>
      </w:r>
    </w:p>
    <w:p>
      <w:pPr>
        <w:pStyle w:val="Heading1"/>
      </w:pPr>
      <w:r>
        <w:t>9. Strategic Recommendations</w:t>
      </w:r>
    </w:p>
    <w:p>
      <w:pPr>
        <w:pStyle w:val="ListBullet"/>
      </w:pPr>
      <w:r>
        <w:t>Audit overtime concentration by role, team, and manager before launching broad retention programs.</w:t>
      </w:r>
    </w:p>
    <w:p>
      <w:pPr>
        <w:pStyle w:val="ListBullet"/>
      </w:pPr>
      <w:r>
        <w:t>Strengthen early-tenure onboarding with 30/60/90-day check-ins and role-clarity prompts.</w:t>
      </w:r>
    </w:p>
    <w:p>
      <w:pPr>
        <w:pStyle w:val="ListBullet"/>
      </w:pPr>
      <w:r>
        <w:t>Use department and job-role comparisons to focus qualitative listening, not to label individuals.</w:t>
      </w:r>
    </w:p>
    <w:p>
      <w:pPr>
        <w:pStyle w:val="ListBullet"/>
      </w:pPr>
      <w:r>
        <w:t>Pair satisfaction data with manager coaching and work-life-balance interventions.</w:t>
      </w:r>
    </w:p>
    <w:p>
      <w:pPr>
        <w:pStyle w:val="ListBullet"/>
      </w:pPr>
      <w:r>
        <w:t>Track model calibration and intervention outcomes over time; do not optimize only for accuracy.</w:t>
      </w:r>
    </w:p>
    <w:p>
      <w:pPr>
        <w:pStyle w:val="Heading1"/>
      </w:pPr>
      <w:r>
        <w:t>10. Conclusion</w:t>
      </w:r>
    </w:p>
    <w:p>
      <w:r>
        <w:t>This project converts a static IBM HR snapshot into a reproducible retention analytics workflow. It demonstrates data hygiene, structured EDA, leakage-aware modeling, explainable scoring, and a usable dashboard while keeping human judgment and fairness guardrails explicit.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