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8E54" w14:textId="5DA05B49" w:rsidR="00726071" w:rsidRPr="00A10471" w:rsidRDefault="00726071" w:rsidP="00726071">
      <w:pPr>
        <w:jc w:val="center"/>
        <w:rPr>
          <w:rFonts w:ascii="Times New Roman" w:hAnsi="Times New Roman" w:cs="Times New Roman"/>
          <w:b/>
          <w:bCs/>
          <w:sz w:val="28"/>
          <w:szCs w:val="28"/>
        </w:rPr>
      </w:pPr>
      <w:r w:rsidRPr="00A10471">
        <w:rPr>
          <w:rFonts w:ascii="Times New Roman" w:hAnsi="Times New Roman" w:cs="Times New Roman"/>
          <w:b/>
          <w:bCs/>
          <w:sz w:val="28"/>
          <w:szCs w:val="28"/>
        </w:rPr>
        <w:t>AI for Smarter Health Care Policy and Contract Management</w:t>
      </w:r>
    </w:p>
    <w:p w14:paraId="1E31A796" w14:textId="1C4FB417" w:rsidR="005939AE" w:rsidRPr="00A10471" w:rsidRDefault="00061FA0">
      <w:pPr>
        <w:rPr>
          <w:rFonts w:ascii="Times New Roman" w:hAnsi="Times New Roman" w:cs="Times New Roman"/>
          <w:b/>
          <w:bCs/>
        </w:rPr>
      </w:pPr>
      <w:r w:rsidRPr="00A10471">
        <w:rPr>
          <w:rFonts w:ascii="Times New Roman" w:hAnsi="Times New Roman" w:cs="Times New Roman"/>
          <w:b/>
          <w:bCs/>
        </w:rPr>
        <w:t>Introduction</w:t>
      </w:r>
    </w:p>
    <w:p w14:paraId="1EAC56E9" w14:textId="1153921A" w:rsidR="00CF1FA8" w:rsidRPr="00A10471" w:rsidRDefault="00CF1FA8">
      <w:pPr>
        <w:rPr>
          <w:rFonts w:ascii="Times New Roman" w:hAnsi="Times New Roman" w:cs="Times New Roman"/>
          <w:sz w:val="22"/>
          <w:szCs w:val="22"/>
        </w:rPr>
      </w:pPr>
      <w:r w:rsidRPr="00A10471">
        <w:rPr>
          <w:rFonts w:ascii="Times New Roman" w:hAnsi="Times New Roman" w:cs="Times New Roman"/>
          <w:sz w:val="22"/>
          <w:szCs w:val="22"/>
        </w:rPr>
        <w:t>Health care organizations run on a constant stream of written content, billing and coding policies, clinical guidelines, and payer-provider contracts, much of which is dense, frequently revised, and hard to search or compare across versions, creating a real bottleneck for compliance review and policy updates as operations scale</w:t>
      </w:r>
      <w:r w:rsidR="00525990" w:rsidRPr="00A10471">
        <w:rPr>
          <w:rFonts w:ascii="Times New Roman" w:hAnsi="Times New Roman" w:cs="Times New Roman"/>
          <w:sz w:val="22"/>
          <w:szCs w:val="22"/>
        </w:rPr>
        <w:t xml:space="preserve"> [1][2]</w:t>
      </w:r>
      <w:r w:rsidRPr="00A10471">
        <w:rPr>
          <w:rFonts w:ascii="Times New Roman" w:hAnsi="Times New Roman" w:cs="Times New Roman"/>
          <w:sz w:val="22"/>
          <w:szCs w:val="22"/>
        </w:rPr>
        <w:t>. This report examines content management in health care as a strategic investment area for Cotiviti, defining the concept, covering relevant opportunities and threats, and closing with concrete options Cotiviti can explore.</w:t>
      </w:r>
    </w:p>
    <w:p w14:paraId="45B92F37" w14:textId="6F655CF7" w:rsidR="009D038A" w:rsidRPr="00A10471" w:rsidRDefault="009D038A">
      <w:pPr>
        <w:rPr>
          <w:rFonts w:ascii="Times New Roman" w:hAnsi="Times New Roman" w:cs="Times New Roman"/>
          <w:b/>
          <w:bCs/>
        </w:rPr>
      </w:pPr>
      <w:r w:rsidRPr="00A10471">
        <w:rPr>
          <w:rFonts w:ascii="Times New Roman" w:hAnsi="Times New Roman" w:cs="Times New Roman"/>
          <w:b/>
          <w:bCs/>
        </w:rPr>
        <w:t>Definition of Concepts</w:t>
      </w:r>
    </w:p>
    <w:p w14:paraId="73293B67" w14:textId="40347763" w:rsidR="005803D5" w:rsidRPr="00A10471" w:rsidRDefault="009D038A">
      <w:pPr>
        <w:rPr>
          <w:rFonts w:ascii="Times New Roman" w:hAnsi="Times New Roman" w:cs="Times New Roman"/>
          <w:sz w:val="22"/>
          <w:szCs w:val="22"/>
        </w:rPr>
      </w:pPr>
      <w:r w:rsidRPr="00A10471">
        <w:rPr>
          <w:rFonts w:ascii="Times New Roman" w:hAnsi="Times New Roman" w:cs="Times New Roman"/>
          <w:sz w:val="22"/>
          <w:szCs w:val="22"/>
        </w:rPr>
        <w:t xml:space="preserve">Content management in health care covers the </w:t>
      </w:r>
      <w:r w:rsidR="00686B85" w:rsidRPr="00A10471">
        <w:rPr>
          <w:rFonts w:ascii="Times New Roman" w:hAnsi="Times New Roman" w:cs="Times New Roman"/>
          <w:sz w:val="22"/>
          <w:szCs w:val="22"/>
        </w:rPr>
        <w:t>organization, interpretation, and</w:t>
      </w:r>
      <w:r w:rsidR="005803D5" w:rsidRPr="00A10471">
        <w:rPr>
          <w:rFonts w:ascii="Times New Roman" w:hAnsi="Times New Roman" w:cs="Times New Roman"/>
          <w:sz w:val="22"/>
          <w:szCs w:val="22"/>
        </w:rPr>
        <w:t xml:space="preserve"> </w:t>
      </w:r>
      <w:r w:rsidR="00686B85" w:rsidRPr="00A10471">
        <w:rPr>
          <w:rFonts w:ascii="Times New Roman" w:hAnsi="Times New Roman" w:cs="Times New Roman"/>
          <w:sz w:val="22"/>
          <w:szCs w:val="22"/>
        </w:rPr>
        <w:t xml:space="preserve">operationalization of the written that governs care delivery, billing, and payment. </w:t>
      </w:r>
      <w:r w:rsidR="005803D5" w:rsidRPr="00A10471">
        <w:rPr>
          <w:rFonts w:ascii="Times New Roman" w:hAnsi="Times New Roman" w:cs="Times New Roman"/>
          <w:sz w:val="22"/>
          <w:szCs w:val="22"/>
        </w:rPr>
        <w:t xml:space="preserve"> </w:t>
      </w:r>
      <w:r w:rsidR="00686B85" w:rsidRPr="00A10471">
        <w:rPr>
          <w:rFonts w:ascii="Times New Roman" w:hAnsi="Times New Roman" w:cs="Times New Roman"/>
          <w:sz w:val="22"/>
          <w:szCs w:val="22"/>
        </w:rPr>
        <w:t xml:space="preserve">Billing and coding policies define how services translate into reimbursable codes and change often enough that keeping internal systems current is a constant task. Clinical practice guidelines are long, clinician-oriented documents that are hard to search for or summarize for non-clinical stakeholders who still need to reference them </w:t>
      </w:r>
      <w:r w:rsidR="00525990" w:rsidRPr="00A10471">
        <w:rPr>
          <w:rFonts w:ascii="Times New Roman" w:hAnsi="Times New Roman" w:cs="Times New Roman"/>
          <w:sz w:val="22"/>
          <w:szCs w:val="22"/>
        </w:rPr>
        <w:t>[3]</w:t>
      </w:r>
      <w:r w:rsidR="005803D5" w:rsidRPr="00A10471">
        <w:rPr>
          <w:rFonts w:ascii="Times New Roman" w:hAnsi="Times New Roman" w:cs="Times New Roman"/>
          <w:sz w:val="22"/>
          <w:szCs w:val="22"/>
        </w:rPr>
        <w:t xml:space="preserve">. </w:t>
      </w:r>
      <w:r w:rsidR="00686B85" w:rsidRPr="00A10471">
        <w:rPr>
          <w:rFonts w:ascii="Times New Roman" w:hAnsi="Times New Roman" w:cs="Times New Roman"/>
          <w:sz w:val="22"/>
          <w:szCs w:val="22"/>
        </w:rPr>
        <w:t>Payer-provider contracts are lengthy legal agreements</w:t>
      </w:r>
      <w:r w:rsidR="00525990" w:rsidRPr="00A10471">
        <w:rPr>
          <w:rFonts w:ascii="Times New Roman" w:hAnsi="Times New Roman" w:cs="Times New Roman"/>
          <w:sz w:val="22"/>
          <w:szCs w:val="22"/>
        </w:rPr>
        <w:t xml:space="preserve"> between health care provider and a payer</w:t>
      </w:r>
      <w:r w:rsidR="00686B85" w:rsidRPr="00A10471">
        <w:rPr>
          <w:rFonts w:ascii="Times New Roman" w:hAnsi="Times New Roman" w:cs="Times New Roman"/>
          <w:sz w:val="22"/>
          <w:szCs w:val="22"/>
        </w:rPr>
        <w:t xml:space="preserve"> defining reimbursement and obligations, renegotiated periodically and requiring careful version comparisons to catch changed terms</w:t>
      </w:r>
      <w:r w:rsidR="005803D5" w:rsidRPr="00A10471">
        <w:rPr>
          <w:rFonts w:ascii="Times New Roman" w:hAnsi="Times New Roman" w:cs="Times New Roman"/>
          <w:sz w:val="22"/>
          <w:szCs w:val="22"/>
        </w:rPr>
        <w:t xml:space="preserve"> </w:t>
      </w:r>
      <w:r w:rsidR="00525990" w:rsidRPr="00A10471">
        <w:rPr>
          <w:rFonts w:ascii="Times New Roman" w:hAnsi="Times New Roman" w:cs="Times New Roman"/>
          <w:sz w:val="22"/>
          <w:szCs w:val="22"/>
        </w:rPr>
        <w:t>[4]</w:t>
      </w:r>
      <w:r w:rsidR="005803D5" w:rsidRPr="00A10471">
        <w:rPr>
          <w:rFonts w:ascii="Times New Roman" w:hAnsi="Times New Roman" w:cs="Times New Roman"/>
          <w:sz w:val="22"/>
          <w:szCs w:val="22"/>
        </w:rPr>
        <w:t xml:space="preserve">. </w:t>
      </w:r>
      <w:r w:rsidR="00686B85" w:rsidRPr="00A10471">
        <w:rPr>
          <w:rFonts w:ascii="Times New Roman" w:hAnsi="Times New Roman" w:cs="Times New Roman"/>
          <w:sz w:val="22"/>
          <w:szCs w:val="22"/>
        </w:rPr>
        <w:t>Summarization condenses any of these documents into a shorter form without losing compliance-relevant detail, while comparison of content changes means identifying exactly what changed between two versions</w:t>
      </w:r>
      <w:r w:rsidR="00A10471">
        <w:rPr>
          <w:rFonts w:ascii="Times New Roman" w:hAnsi="Times New Roman" w:cs="Times New Roman"/>
          <w:sz w:val="22"/>
          <w:szCs w:val="22"/>
        </w:rPr>
        <w:t xml:space="preserve"> of the same document</w:t>
      </w:r>
      <w:r w:rsidR="00686B85" w:rsidRPr="00A10471">
        <w:rPr>
          <w:rFonts w:ascii="Times New Roman" w:hAnsi="Times New Roman" w:cs="Times New Roman"/>
          <w:sz w:val="22"/>
          <w:szCs w:val="22"/>
        </w:rPr>
        <w:t>, work that is largely manual today. Finally, converting written policy into programming language, rules, features, or models means turning plain-English policy into something a system can execute, such as a claims engine rule or a model feature, which is the step that makes a document operational and the step most prone to error and delay when done by hand</w:t>
      </w:r>
      <w:r w:rsidR="005803D5" w:rsidRPr="00A10471">
        <w:rPr>
          <w:rFonts w:ascii="Times New Roman" w:hAnsi="Times New Roman" w:cs="Times New Roman"/>
          <w:sz w:val="22"/>
          <w:szCs w:val="22"/>
        </w:rPr>
        <w:t xml:space="preserve"> [5].</w:t>
      </w:r>
    </w:p>
    <w:p w14:paraId="059383D0" w14:textId="519270C2" w:rsidR="00686B85" w:rsidRPr="00A10471" w:rsidRDefault="00611784">
      <w:pPr>
        <w:rPr>
          <w:rFonts w:ascii="Times New Roman" w:hAnsi="Times New Roman" w:cs="Times New Roman"/>
          <w:b/>
          <w:bCs/>
        </w:rPr>
      </w:pPr>
      <w:r w:rsidRPr="00A10471">
        <w:rPr>
          <w:rFonts w:ascii="Times New Roman" w:hAnsi="Times New Roman" w:cs="Times New Roman"/>
          <w:b/>
          <w:bCs/>
        </w:rPr>
        <w:t xml:space="preserve">Current State </w:t>
      </w:r>
      <w:r w:rsidR="00232C43">
        <w:rPr>
          <w:rFonts w:ascii="Times New Roman" w:hAnsi="Times New Roman" w:cs="Times New Roman"/>
          <w:b/>
          <w:bCs/>
        </w:rPr>
        <w:t>of Content Management</w:t>
      </w:r>
    </w:p>
    <w:p w14:paraId="2E836D21" w14:textId="4B3CAC1B" w:rsidR="00611784" w:rsidRPr="00A10471" w:rsidRDefault="00611784">
      <w:pPr>
        <w:rPr>
          <w:rFonts w:ascii="Times New Roman" w:hAnsi="Times New Roman" w:cs="Times New Roman"/>
          <w:sz w:val="22"/>
          <w:szCs w:val="22"/>
        </w:rPr>
      </w:pPr>
      <w:r w:rsidRPr="00A10471">
        <w:rPr>
          <w:rFonts w:ascii="Times New Roman" w:hAnsi="Times New Roman" w:cs="Times New Roman"/>
          <w:sz w:val="22"/>
          <w:szCs w:val="22"/>
        </w:rPr>
        <w:t>Today, most health care organizations handle billing and coding policy, clinical guidelines, and payer-provider contracts through manual review. Analysts read through documents directly, relying on basic keyword search that only helps if they already know roughly where to look, and comparing two versions of a contract or policy update is typically done line by line with little more than a document comparison tool. Converting a written policy into an executable rule for a claims engine or a model feature is a separate manual translation step, handled by a different team</w:t>
      </w:r>
      <w:r w:rsidR="006B0EFC" w:rsidRPr="00A10471">
        <w:rPr>
          <w:rFonts w:ascii="Times New Roman" w:hAnsi="Times New Roman" w:cs="Times New Roman"/>
          <w:sz w:val="22"/>
          <w:szCs w:val="22"/>
        </w:rPr>
        <w:t xml:space="preserve"> that must re-read the policy and decide how to encode it</w:t>
      </w:r>
      <w:r w:rsidR="00D16F26" w:rsidRPr="00A10471">
        <w:rPr>
          <w:rFonts w:ascii="Times New Roman" w:hAnsi="Times New Roman" w:cs="Times New Roman"/>
          <w:sz w:val="22"/>
          <w:szCs w:val="22"/>
        </w:rPr>
        <w:t xml:space="preserve"> [6]</w:t>
      </w:r>
      <w:r w:rsidR="006B0EFC" w:rsidRPr="00A10471">
        <w:rPr>
          <w:rFonts w:ascii="Times New Roman" w:hAnsi="Times New Roman" w:cs="Times New Roman"/>
          <w:sz w:val="22"/>
          <w:szCs w:val="22"/>
        </w:rPr>
        <w:t>.</w:t>
      </w:r>
    </w:p>
    <w:p w14:paraId="1DA65DC4" w14:textId="1E9BECCC" w:rsidR="006B0EFC" w:rsidRPr="00A10471" w:rsidRDefault="006B0EFC">
      <w:pPr>
        <w:rPr>
          <w:rFonts w:ascii="Times New Roman" w:hAnsi="Times New Roman" w:cs="Times New Roman"/>
          <w:sz w:val="22"/>
          <w:szCs w:val="22"/>
        </w:rPr>
      </w:pPr>
      <w:r w:rsidRPr="00A10471">
        <w:rPr>
          <w:rFonts w:ascii="Times New Roman" w:hAnsi="Times New Roman" w:cs="Times New Roman"/>
          <w:sz w:val="22"/>
          <w:szCs w:val="22"/>
        </w:rPr>
        <w:t>This process is slow and inconsistent. Two analysts can interpret ambiguous language differently, and a missed update during a busy review cycle can leave a claims system running outdated rules for weeks before anyone notices</w:t>
      </w:r>
      <w:r w:rsidR="00D16F26" w:rsidRPr="00A10471">
        <w:rPr>
          <w:rFonts w:ascii="Times New Roman" w:hAnsi="Times New Roman" w:cs="Times New Roman"/>
          <w:sz w:val="22"/>
          <w:szCs w:val="22"/>
        </w:rPr>
        <w:t xml:space="preserve"> [7]</w:t>
      </w:r>
      <w:r w:rsidRPr="00A10471">
        <w:rPr>
          <w:rFonts w:ascii="Times New Roman" w:hAnsi="Times New Roman" w:cs="Times New Roman"/>
          <w:sz w:val="22"/>
          <w:szCs w:val="22"/>
        </w:rPr>
        <w:t xml:space="preserve">. As document volume grows and regulations change more often, this manual approach becomes the bottleneck limiting how quickly a payer </w:t>
      </w:r>
      <w:r w:rsidR="00CF1FA8" w:rsidRPr="00A10471">
        <w:rPr>
          <w:rFonts w:ascii="Times New Roman" w:hAnsi="Times New Roman" w:cs="Times New Roman"/>
          <w:sz w:val="22"/>
          <w:szCs w:val="22"/>
        </w:rPr>
        <w:t>responds</w:t>
      </w:r>
      <w:r w:rsidRPr="00A10471">
        <w:rPr>
          <w:rFonts w:ascii="Times New Roman" w:hAnsi="Times New Roman" w:cs="Times New Roman"/>
          <w:sz w:val="22"/>
          <w:szCs w:val="22"/>
        </w:rPr>
        <w:t xml:space="preserve"> to policy change or catches a costly contract discrepancy</w:t>
      </w:r>
      <w:r w:rsidR="00D16F26" w:rsidRPr="00A10471">
        <w:rPr>
          <w:rFonts w:ascii="Times New Roman" w:hAnsi="Times New Roman" w:cs="Times New Roman"/>
          <w:sz w:val="22"/>
          <w:szCs w:val="22"/>
        </w:rPr>
        <w:t xml:space="preserve"> [8]</w:t>
      </w:r>
      <w:r w:rsidRPr="00A10471">
        <w:rPr>
          <w:rFonts w:ascii="Times New Roman" w:hAnsi="Times New Roman" w:cs="Times New Roman"/>
          <w:sz w:val="22"/>
          <w:szCs w:val="22"/>
        </w:rPr>
        <w:t>.</w:t>
      </w:r>
    </w:p>
    <w:p w14:paraId="62B8C533" w14:textId="668C7D48" w:rsidR="006B0EFC" w:rsidRPr="00A10471" w:rsidRDefault="006B0EFC">
      <w:pPr>
        <w:rPr>
          <w:rFonts w:ascii="Times New Roman" w:hAnsi="Times New Roman" w:cs="Times New Roman"/>
          <w:b/>
          <w:bCs/>
        </w:rPr>
      </w:pPr>
      <w:r w:rsidRPr="00A10471">
        <w:rPr>
          <w:rFonts w:ascii="Times New Roman" w:hAnsi="Times New Roman" w:cs="Times New Roman"/>
          <w:b/>
          <w:bCs/>
        </w:rPr>
        <w:t xml:space="preserve">New Opportunities with </w:t>
      </w:r>
      <w:r w:rsidR="00232C43">
        <w:rPr>
          <w:rFonts w:ascii="Times New Roman" w:hAnsi="Times New Roman" w:cs="Times New Roman"/>
          <w:b/>
          <w:bCs/>
        </w:rPr>
        <w:t>Retrieval Augmented Generation (RAG)</w:t>
      </w:r>
    </w:p>
    <w:p w14:paraId="7ED5B7B0" w14:textId="34A2ACEB" w:rsidR="006B0EFC" w:rsidRPr="00A10471" w:rsidRDefault="00232C43">
      <w:pPr>
        <w:rPr>
          <w:rFonts w:ascii="Times New Roman" w:hAnsi="Times New Roman" w:cs="Times New Roman"/>
          <w:sz w:val="22"/>
          <w:szCs w:val="22"/>
        </w:rPr>
      </w:pPr>
      <w:r>
        <w:rPr>
          <w:rFonts w:ascii="Times New Roman" w:hAnsi="Times New Roman" w:cs="Times New Roman"/>
          <w:sz w:val="22"/>
          <w:szCs w:val="22"/>
        </w:rPr>
        <w:t>Retrieval Augmented Generation (</w:t>
      </w:r>
      <w:r w:rsidR="00A10471">
        <w:rPr>
          <w:rFonts w:ascii="Times New Roman" w:hAnsi="Times New Roman" w:cs="Times New Roman"/>
          <w:sz w:val="22"/>
          <w:szCs w:val="22"/>
        </w:rPr>
        <w:t>RAG</w:t>
      </w:r>
      <w:r>
        <w:rPr>
          <w:rFonts w:ascii="Times New Roman" w:hAnsi="Times New Roman" w:cs="Times New Roman"/>
          <w:sz w:val="22"/>
          <w:szCs w:val="22"/>
        </w:rPr>
        <w:t>)</w:t>
      </w:r>
      <w:r w:rsidR="006B0EFC" w:rsidRPr="00A10471">
        <w:rPr>
          <w:rFonts w:ascii="Times New Roman" w:hAnsi="Times New Roman" w:cs="Times New Roman"/>
          <w:sz w:val="22"/>
          <w:szCs w:val="22"/>
        </w:rPr>
        <w:t xml:space="preserve"> change this picture by letting analysts ask plain English questions directly against a policy or contracts corpus and get grounded answers pulled from the actual </w:t>
      </w:r>
      <w:r w:rsidR="006B0EFC" w:rsidRPr="00A10471">
        <w:rPr>
          <w:rFonts w:ascii="Times New Roman" w:hAnsi="Times New Roman" w:cs="Times New Roman"/>
          <w:sz w:val="22"/>
          <w:szCs w:val="22"/>
        </w:rPr>
        <w:lastRenderedPageBreak/>
        <w:t>source text, instead of manually searching for the right section</w:t>
      </w:r>
      <w:r w:rsidR="002B6124" w:rsidRPr="00A10471">
        <w:rPr>
          <w:rFonts w:ascii="Times New Roman" w:hAnsi="Times New Roman" w:cs="Times New Roman"/>
          <w:sz w:val="22"/>
          <w:szCs w:val="22"/>
        </w:rPr>
        <w:t xml:space="preserve"> [9]</w:t>
      </w:r>
      <w:r w:rsidR="006B0EFC" w:rsidRPr="00A10471">
        <w:rPr>
          <w:rFonts w:ascii="Times New Roman" w:hAnsi="Times New Roman" w:cs="Times New Roman"/>
          <w:sz w:val="22"/>
          <w:szCs w:val="22"/>
        </w:rPr>
        <w:t xml:space="preserve">. The same retrieval setup can power automated comparison between the document versions, surfacing what changed in a policy or contract update in seconds rather than through a </w:t>
      </w:r>
      <w:r w:rsidR="00CF1FA8" w:rsidRPr="00A10471">
        <w:rPr>
          <w:rFonts w:ascii="Times New Roman" w:hAnsi="Times New Roman" w:cs="Times New Roman"/>
          <w:sz w:val="22"/>
          <w:szCs w:val="22"/>
        </w:rPr>
        <w:t>line-by-line</w:t>
      </w:r>
      <w:r w:rsidR="006B0EFC" w:rsidRPr="00A10471">
        <w:rPr>
          <w:rFonts w:ascii="Times New Roman" w:hAnsi="Times New Roman" w:cs="Times New Roman"/>
          <w:sz w:val="22"/>
          <w:szCs w:val="22"/>
        </w:rPr>
        <w:t xml:space="preserve"> manual read</w:t>
      </w:r>
      <w:r w:rsidR="002B6124" w:rsidRPr="00A10471">
        <w:rPr>
          <w:rFonts w:ascii="Times New Roman" w:hAnsi="Times New Roman" w:cs="Times New Roman"/>
          <w:sz w:val="22"/>
          <w:szCs w:val="22"/>
        </w:rPr>
        <w:t xml:space="preserve"> [10]</w:t>
      </w:r>
      <w:r w:rsidR="006B0EFC" w:rsidRPr="00A10471">
        <w:rPr>
          <w:rFonts w:ascii="Times New Roman" w:hAnsi="Times New Roman" w:cs="Times New Roman"/>
          <w:sz w:val="22"/>
          <w:szCs w:val="22"/>
        </w:rPr>
        <w:t xml:space="preserve">. A fine-tuned or well-prompted model can also assist with converting </w:t>
      </w:r>
      <w:r w:rsidR="00CF1FA8" w:rsidRPr="00A10471">
        <w:rPr>
          <w:rFonts w:ascii="Times New Roman" w:hAnsi="Times New Roman" w:cs="Times New Roman"/>
          <w:sz w:val="22"/>
          <w:szCs w:val="22"/>
        </w:rPr>
        <w:t>written policy into structured rules or model features by drafting a first pass translation for a human reviewer to confirm, cutting down the time between policy update and its implementation in the production system</w:t>
      </w:r>
      <w:r w:rsidR="002B6124" w:rsidRPr="00A10471">
        <w:rPr>
          <w:rFonts w:ascii="Times New Roman" w:hAnsi="Times New Roman" w:cs="Times New Roman"/>
          <w:sz w:val="22"/>
          <w:szCs w:val="22"/>
        </w:rPr>
        <w:t xml:space="preserve"> [11]</w:t>
      </w:r>
      <w:r w:rsidR="00CF1FA8" w:rsidRPr="00A10471">
        <w:rPr>
          <w:rFonts w:ascii="Times New Roman" w:hAnsi="Times New Roman" w:cs="Times New Roman"/>
          <w:sz w:val="22"/>
          <w:szCs w:val="22"/>
        </w:rPr>
        <w:t>.</w:t>
      </w:r>
    </w:p>
    <w:p w14:paraId="6FC0FC9D" w14:textId="73ADE769" w:rsidR="00CF1FA8" w:rsidRPr="00A10471" w:rsidRDefault="00CF1FA8">
      <w:pPr>
        <w:rPr>
          <w:rFonts w:ascii="Times New Roman" w:hAnsi="Times New Roman" w:cs="Times New Roman"/>
          <w:b/>
          <w:bCs/>
        </w:rPr>
      </w:pPr>
      <w:r w:rsidRPr="00A10471">
        <w:rPr>
          <w:rFonts w:ascii="Times New Roman" w:hAnsi="Times New Roman" w:cs="Times New Roman"/>
          <w:b/>
          <w:bCs/>
        </w:rPr>
        <w:t>Threats and Obstacles</w:t>
      </w:r>
    </w:p>
    <w:p w14:paraId="455D378C" w14:textId="4E68EB28" w:rsidR="00CF1FA8" w:rsidRPr="00A10471" w:rsidRDefault="00CF1FA8">
      <w:pPr>
        <w:rPr>
          <w:rFonts w:ascii="Times New Roman" w:hAnsi="Times New Roman" w:cs="Times New Roman"/>
          <w:sz w:val="22"/>
          <w:szCs w:val="22"/>
        </w:rPr>
      </w:pPr>
      <w:r w:rsidRPr="00A10471">
        <w:rPr>
          <w:rFonts w:ascii="Times New Roman" w:hAnsi="Times New Roman" w:cs="Times New Roman"/>
          <w:sz w:val="22"/>
          <w:szCs w:val="22"/>
        </w:rPr>
        <w:t>The biggest risk is exposing protected health information (PHI), since policy examples, contract details, and clinical guidance can reference patient or member data, and that risk extends to the AI pipeline itself if PHI is not masked before it reaches a model. Cloud platforms such as Amazon Bedrock and Azure AI Foundry reduce this risk through building guardrails and HIPAA eligible infrastructure under a signed Business Associate Agreement, but the platform alone does not guarantee compliance, the organization is still responsible for configuration, access control, and how PHI is handled before and after each model call</w:t>
      </w:r>
      <w:r w:rsidR="002B6124" w:rsidRPr="00A10471">
        <w:rPr>
          <w:rFonts w:ascii="Times New Roman" w:hAnsi="Times New Roman" w:cs="Times New Roman"/>
          <w:sz w:val="22"/>
          <w:szCs w:val="22"/>
        </w:rPr>
        <w:t xml:space="preserve"> [12][13]</w:t>
      </w:r>
      <w:r w:rsidRPr="00A10471">
        <w:rPr>
          <w:rFonts w:ascii="Times New Roman" w:hAnsi="Times New Roman" w:cs="Times New Roman"/>
          <w:sz w:val="22"/>
          <w:szCs w:val="22"/>
        </w:rPr>
        <w:t>. A second obstacle is data quality, since many payers are still digitizing decades old contracts and policy documents, and Optical Character Recognition (OCR) accuracy on these scans is often inconsistent due to faded text and irregular formatting, which limits how reliable any downstream LLM pipeline can be</w:t>
      </w:r>
      <w:r w:rsidR="002B6124" w:rsidRPr="00A10471">
        <w:rPr>
          <w:rFonts w:ascii="Times New Roman" w:hAnsi="Times New Roman" w:cs="Times New Roman"/>
          <w:sz w:val="22"/>
          <w:szCs w:val="22"/>
        </w:rPr>
        <w:t xml:space="preserve"> [14]</w:t>
      </w:r>
      <w:r w:rsidRPr="00A10471">
        <w:rPr>
          <w:rFonts w:ascii="Times New Roman" w:hAnsi="Times New Roman" w:cs="Times New Roman"/>
          <w:sz w:val="22"/>
          <w:szCs w:val="22"/>
        </w:rPr>
        <w:t>. Finally, hallucination remains a concern in a regulated domain like this, since an LLM that confidently states an incorrect rule or misreads a contract term could lead to a costly compliance error if a human reviewer is not kept in the loop</w:t>
      </w:r>
      <w:r w:rsidR="002B6124" w:rsidRPr="00A10471">
        <w:rPr>
          <w:rFonts w:ascii="Times New Roman" w:hAnsi="Times New Roman" w:cs="Times New Roman"/>
          <w:sz w:val="22"/>
          <w:szCs w:val="22"/>
        </w:rPr>
        <w:t xml:space="preserve"> [15]</w:t>
      </w:r>
      <w:r w:rsidRPr="00A10471">
        <w:rPr>
          <w:rFonts w:ascii="Times New Roman" w:hAnsi="Times New Roman" w:cs="Times New Roman"/>
          <w:sz w:val="22"/>
          <w:szCs w:val="22"/>
        </w:rPr>
        <w:t>.</w:t>
      </w:r>
    </w:p>
    <w:p w14:paraId="7ED4CDBA" w14:textId="66658D2F" w:rsidR="00CF1FA8" w:rsidRPr="00A10471" w:rsidRDefault="00CF1FA8">
      <w:pPr>
        <w:rPr>
          <w:rFonts w:ascii="Times New Roman" w:hAnsi="Times New Roman" w:cs="Times New Roman"/>
          <w:b/>
          <w:bCs/>
        </w:rPr>
      </w:pPr>
      <w:r w:rsidRPr="00A10471">
        <w:rPr>
          <w:rFonts w:ascii="Times New Roman" w:hAnsi="Times New Roman" w:cs="Times New Roman"/>
          <w:b/>
          <w:bCs/>
        </w:rPr>
        <w:t>Proposed Solution</w:t>
      </w:r>
    </w:p>
    <w:p w14:paraId="7B9717D1" w14:textId="3F48003D" w:rsidR="00CF1FA8" w:rsidRPr="00A10471" w:rsidRDefault="00CF1FA8">
      <w:pPr>
        <w:rPr>
          <w:rFonts w:ascii="Times New Roman" w:hAnsi="Times New Roman" w:cs="Times New Roman"/>
          <w:sz w:val="22"/>
          <w:szCs w:val="22"/>
        </w:rPr>
      </w:pPr>
      <w:r w:rsidRPr="00A10471">
        <w:rPr>
          <w:rFonts w:ascii="Times New Roman" w:hAnsi="Times New Roman" w:cs="Times New Roman"/>
          <w:sz w:val="22"/>
          <w:szCs w:val="22"/>
        </w:rPr>
        <w:t>I propose Cotiviti invest in a retrieval augmented generation pipeline built on a cloud platform such as Amazon Bedrock or Azure AI Foundry, design specifically for billing and coding policy, clinical guidelines, and payer-provider contracts. The pipeline would ingest documents into a vector store, with a PHI masking step applied before ingestion so sensitive identifiers never reach the model, and a second masking passes on model output before it reaches a human reviewer. On top of this, the system would offer two core capabilities, a question-and-answer interface that lets analysts query policy or contract content in plain English with answers grounded in the retrieved source text, and an automated document comparison feature that flags exactly what changed between two versions of a policy or contract. A human reviewer would remain in the loop for any output used in a compliance decision or claims rule update, treating the model's response as a draft to verify rather than a final answer.</w:t>
      </w:r>
    </w:p>
    <w:p w14:paraId="6EA800A1" w14:textId="75BF8189" w:rsidR="00962C47" w:rsidRPr="00A10471" w:rsidRDefault="00962C47" w:rsidP="00962C47">
      <w:pPr>
        <w:rPr>
          <w:rFonts w:ascii="Times New Roman" w:hAnsi="Times New Roman" w:cs="Times New Roman"/>
          <w:b/>
          <w:bCs/>
        </w:rPr>
      </w:pPr>
      <w:r w:rsidRPr="00A10471">
        <w:rPr>
          <w:rFonts w:ascii="Times New Roman" w:hAnsi="Times New Roman" w:cs="Times New Roman"/>
          <w:b/>
          <w:bCs/>
        </w:rPr>
        <w:t xml:space="preserve">A Note on </w:t>
      </w:r>
      <w:r w:rsidR="00A10471" w:rsidRPr="00A10471">
        <w:rPr>
          <w:rFonts w:ascii="Times New Roman" w:hAnsi="Times New Roman" w:cs="Times New Roman"/>
          <w:b/>
          <w:bCs/>
        </w:rPr>
        <w:t>Proposed Solution and Methods</w:t>
      </w:r>
    </w:p>
    <w:p w14:paraId="1A0A7BB2" w14:textId="0B5F9A82" w:rsidR="00C77AD5" w:rsidRPr="00A10471" w:rsidRDefault="00C77AD5" w:rsidP="00962C47">
      <w:pPr>
        <w:rPr>
          <w:rFonts w:ascii="Times New Roman" w:hAnsi="Times New Roman" w:cs="Times New Roman"/>
          <w:sz w:val="22"/>
          <w:szCs w:val="22"/>
        </w:rPr>
      </w:pPr>
      <w:r w:rsidRPr="00A10471">
        <w:rPr>
          <w:rFonts w:ascii="Times New Roman" w:hAnsi="Times New Roman" w:cs="Times New Roman"/>
          <w:sz w:val="22"/>
          <w:szCs w:val="22"/>
        </w:rPr>
        <w:t xml:space="preserve">The proposed solution in this report </w:t>
      </w:r>
      <w:r w:rsidR="004A7478" w:rsidRPr="00A10471">
        <w:rPr>
          <w:rFonts w:ascii="Times New Roman" w:hAnsi="Times New Roman" w:cs="Times New Roman"/>
          <w:sz w:val="22"/>
          <w:szCs w:val="22"/>
        </w:rPr>
        <w:t>comes</w:t>
      </w:r>
      <w:r w:rsidRPr="00A10471">
        <w:rPr>
          <w:rFonts w:ascii="Times New Roman" w:hAnsi="Times New Roman" w:cs="Times New Roman"/>
          <w:sz w:val="22"/>
          <w:szCs w:val="22"/>
        </w:rPr>
        <w:t xml:space="preserve"> from my own studies, professional experience, and education in AI and health care technology, with inspiration drawn from my work as an AI Engineer at Worcester Polytechnic Institute, where I built a fine-tuned LLM and retrieval augmented generation system for a resource-sharing platform for non-profit organizations. This proposal also draws in part on my experience as an IT Intern at Fallon Health, where I designed and deployed a multi-agent LLM framework for document-based Q&amp;A that improved informational access by 45 percent</w:t>
      </w:r>
      <w:r w:rsidR="00232C43">
        <w:rPr>
          <w:rFonts w:ascii="Times New Roman" w:hAnsi="Times New Roman" w:cs="Times New Roman"/>
          <w:sz w:val="22"/>
          <w:szCs w:val="22"/>
        </w:rPr>
        <w:t xml:space="preserve"> in the organization</w:t>
      </w:r>
      <w:r w:rsidRPr="00A10471">
        <w:rPr>
          <w:rFonts w:ascii="Times New Roman" w:hAnsi="Times New Roman" w:cs="Times New Roman"/>
          <w:sz w:val="22"/>
          <w:szCs w:val="22"/>
        </w:rPr>
        <w:t>. I used Claude, an AI assistant by Anthropic, to assist with research, organize the report into sections, and rephrase parts of the writing for clarity within the two-page constraint, with sources verified and cited as instructed in the prompt.</w:t>
      </w:r>
    </w:p>
    <w:p w14:paraId="04DE17F7" w14:textId="77777777" w:rsidR="00A10471" w:rsidRDefault="00A10471" w:rsidP="00962C47">
      <w:pPr>
        <w:rPr>
          <w:rFonts w:ascii="Times New Roman" w:hAnsi="Times New Roman" w:cs="Times New Roman"/>
          <w:b/>
          <w:bCs/>
        </w:rPr>
      </w:pPr>
    </w:p>
    <w:p w14:paraId="1FB2C958" w14:textId="4ED963FF" w:rsidR="00EE0E7A" w:rsidRPr="00A10471" w:rsidRDefault="00EE0E7A" w:rsidP="00962C47">
      <w:pPr>
        <w:rPr>
          <w:rFonts w:ascii="Times New Roman" w:hAnsi="Times New Roman" w:cs="Times New Roman"/>
          <w:b/>
          <w:bCs/>
        </w:rPr>
      </w:pPr>
      <w:r w:rsidRPr="00A10471">
        <w:rPr>
          <w:rFonts w:ascii="Times New Roman" w:hAnsi="Times New Roman" w:cs="Times New Roman"/>
          <w:b/>
          <w:bCs/>
        </w:rPr>
        <w:t>References</w:t>
      </w:r>
    </w:p>
    <w:p w14:paraId="77735C3C" w14:textId="137F7F0F" w:rsidR="00EE0E7A" w:rsidRPr="00A10471" w:rsidRDefault="00EE0E7A" w:rsidP="00962C47">
      <w:pPr>
        <w:rPr>
          <w:rFonts w:ascii="Times New Roman" w:hAnsi="Times New Roman" w:cs="Times New Roman"/>
          <w:sz w:val="22"/>
          <w:szCs w:val="22"/>
        </w:rPr>
      </w:pPr>
      <w:r w:rsidRPr="00A10471">
        <w:rPr>
          <w:rFonts w:ascii="Times New Roman" w:hAnsi="Times New Roman" w:cs="Times New Roman"/>
          <w:sz w:val="22"/>
          <w:szCs w:val="22"/>
        </w:rPr>
        <w:t xml:space="preserve">[1] </w:t>
      </w:r>
      <w:r w:rsidRPr="00A10471">
        <w:rPr>
          <w:rFonts w:ascii="Times New Roman" w:hAnsi="Times New Roman" w:cs="Times New Roman"/>
          <w:sz w:val="22"/>
          <w:szCs w:val="22"/>
        </w:rPr>
        <w:t xml:space="preserve">Akers, L. (2025). Correct Coding and Navigating Payer Expectations. Advances in Health Information Science and Practice, 1(2), LFYE5539. </w:t>
      </w:r>
      <w:hyperlink r:id="rId6" w:history="1">
        <w:r w:rsidRPr="00A10471">
          <w:rPr>
            <w:rStyle w:val="Hyperlink"/>
            <w:rFonts w:ascii="Times New Roman" w:hAnsi="Times New Roman" w:cs="Times New Roman"/>
            <w:sz w:val="22"/>
            <w:szCs w:val="22"/>
          </w:rPr>
          <w:t>https://doi.org/10.63116/LFYE5539</w:t>
        </w:r>
      </w:hyperlink>
    </w:p>
    <w:p w14:paraId="4D54F9B9" w14:textId="26553DF1" w:rsidR="00EE0E7A" w:rsidRPr="00A10471" w:rsidRDefault="00EE0E7A" w:rsidP="00962C47">
      <w:pPr>
        <w:rPr>
          <w:rFonts w:ascii="Times New Roman" w:hAnsi="Times New Roman" w:cs="Times New Roman"/>
          <w:sz w:val="22"/>
          <w:szCs w:val="22"/>
        </w:rPr>
      </w:pPr>
      <w:r w:rsidRPr="00A10471">
        <w:rPr>
          <w:rFonts w:ascii="Times New Roman" w:hAnsi="Times New Roman" w:cs="Times New Roman"/>
          <w:sz w:val="22"/>
          <w:szCs w:val="22"/>
        </w:rPr>
        <w:t xml:space="preserve">[2] </w:t>
      </w:r>
      <w:r w:rsidRPr="00A10471">
        <w:rPr>
          <w:rFonts w:ascii="Times New Roman" w:hAnsi="Times New Roman" w:cs="Times New Roman"/>
          <w:sz w:val="22"/>
          <w:szCs w:val="22"/>
        </w:rPr>
        <w:t xml:space="preserve">How to Improve Medical Billing and Coding Compliance. (2024, September 6). </w:t>
      </w:r>
      <w:hyperlink r:id="rId7" w:history="1">
        <w:r w:rsidRPr="00A10471">
          <w:rPr>
            <w:rStyle w:val="Hyperlink"/>
            <w:rFonts w:ascii="Times New Roman" w:hAnsi="Times New Roman" w:cs="Times New Roman"/>
            <w:sz w:val="22"/>
            <w:szCs w:val="22"/>
          </w:rPr>
          <w:t>https://www.outsourcestrategies.com/blog/strategies-improve-medical-billing-coding-compliance/</w:t>
        </w:r>
      </w:hyperlink>
    </w:p>
    <w:p w14:paraId="521595A4" w14:textId="4119E49C" w:rsidR="00EE0E7A" w:rsidRPr="00A10471" w:rsidRDefault="00EE0E7A" w:rsidP="00962C47">
      <w:pPr>
        <w:rPr>
          <w:rFonts w:ascii="Times New Roman" w:hAnsi="Times New Roman" w:cs="Times New Roman"/>
          <w:sz w:val="22"/>
          <w:szCs w:val="22"/>
        </w:rPr>
      </w:pPr>
      <w:r w:rsidRPr="00A10471">
        <w:rPr>
          <w:rFonts w:ascii="Times New Roman" w:hAnsi="Times New Roman" w:cs="Times New Roman"/>
          <w:sz w:val="22"/>
          <w:szCs w:val="22"/>
        </w:rPr>
        <w:t xml:space="preserve">[3] </w:t>
      </w:r>
      <w:r w:rsidRPr="00A10471">
        <w:rPr>
          <w:rFonts w:ascii="Times New Roman" w:hAnsi="Times New Roman" w:cs="Times New Roman"/>
          <w:sz w:val="22"/>
          <w:szCs w:val="22"/>
        </w:rPr>
        <w:t>In brief: What are clinical practice guidelines? (2020). Institute for Quality and Efficiency in Health Care (</w:t>
      </w:r>
      <w:proofErr w:type="spellStart"/>
      <w:r w:rsidRPr="00A10471">
        <w:rPr>
          <w:rFonts w:ascii="Times New Roman" w:hAnsi="Times New Roman" w:cs="Times New Roman"/>
          <w:sz w:val="22"/>
          <w:szCs w:val="22"/>
        </w:rPr>
        <w:t>IQWiG</w:t>
      </w:r>
      <w:proofErr w:type="spellEnd"/>
      <w:r w:rsidRPr="00A10471">
        <w:rPr>
          <w:rFonts w:ascii="Times New Roman" w:hAnsi="Times New Roman" w:cs="Times New Roman"/>
          <w:sz w:val="22"/>
          <w:szCs w:val="22"/>
        </w:rPr>
        <w:t xml:space="preserve">). </w:t>
      </w:r>
      <w:hyperlink r:id="rId8" w:history="1">
        <w:r w:rsidRPr="00A10471">
          <w:rPr>
            <w:rStyle w:val="Hyperlink"/>
            <w:rFonts w:ascii="Times New Roman" w:hAnsi="Times New Roman" w:cs="Times New Roman"/>
            <w:sz w:val="22"/>
            <w:szCs w:val="22"/>
          </w:rPr>
          <w:t>https://www.ncbi.nlm.nih.gov/books/NBK390308/</w:t>
        </w:r>
      </w:hyperlink>
    </w:p>
    <w:p w14:paraId="36719CBA" w14:textId="01819600" w:rsidR="00EE0E7A" w:rsidRPr="00A10471" w:rsidRDefault="00EE0E7A" w:rsidP="00962C47">
      <w:pPr>
        <w:rPr>
          <w:rFonts w:ascii="Times New Roman" w:hAnsi="Times New Roman" w:cs="Times New Roman"/>
          <w:sz w:val="22"/>
          <w:szCs w:val="22"/>
        </w:rPr>
      </w:pPr>
      <w:r w:rsidRPr="00A10471">
        <w:rPr>
          <w:rFonts w:ascii="Times New Roman" w:hAnsi="Times New Roman" w:cs="Times New Roman"/>
          <w:sz w:val="22"/>
          <w:szCs w:val="22"/>
        </w:rPr>
        <w:t xml:space="preserve">[4] </w:t>
      </w:r>
      <w:r w:rsidRPr="00A10471">
        <w:rPr>
          <w:rFonts w:ascii="Times New Roman" w:hAnsi="Times New Roman" w:cs="Times New Roman"/>
          <w:sz w:val="22"/>
          <w:szCs w:val="22"/>
        </w:rPr>
        <w:t xml:space="preserve">What Is Payor Contracting? Complete Guide for Healthcare Providers. (2025, October 27). </w:t>
      </w:r>
      <w:hyperlink r:id="rId9" w:history="1">
        <w:r w:rsidRPr="00A10471">
          <w:rPr>
            <w:rStyle w:val="Hyperlink"/>
            <w:rFonts w:ascii="Times New Roman" w:hAnsi="Times New Roman" w:cs="Times New Roman"/>
            <w:sz w:val="22"/>
            <w:szCs w:val="22"/>
          </w:rPr>
          <w:t>https://www.icertis.com/learn/what-is-payor-contracting/</w:t>
        </w:r>
      </w:hyperlink>
    </w:p>
    <w:p w14:paraId="23E9B4C5" w14:textId="2B8BC573" w:rsidR="00EE0E7A" w:rsidRPr="00A10471" w:rsidRDefault="00EE0E7A" w:rsidP="00962C47">
      <w:pPr>
        <w:rPr>
          <w:rFonts w:ascii="Times New Roman" w:hAnsi="Times New Roman" w:cs="Times New Roman"/>
          <w:sz w:val="22"/>
          <w:szCs w:val="22"/>
        </w:rPr>
      </w:pPr>
      <w:r w:rsidRPr="00A10471">
        <w:rPr>
          <w:rFonts w:ascii="Times New Roman" w:hAnsi="Times New Roman" w:cs="Times New Roman"/>
          <w:sz w:val="22"/>
          <w:szCs w:val="22"/>
        </w:rPr>
        <w:t xml:space="preserve">[5] </w:t>
      </w:r>
      <w:r w:rsidRPr="00A10471">
        <w:rPr>
          <w:rFonts w:ascii="Times New Roman" w:hAnsi="Times New Roman" w:cs="Times New Roman"/>
          <w:sz w:val="22"/>
          <w:szCs w:val="22"/>
        </w:rPr>
        <w:t xml:space="preserve">Sekar, P. K. M., Matei, I., </w:t>
      </w:r>
      <w:proofErr w:type="spellStart"/>
      <w:r w:rsidRPr="00A10471">
        <w:rPr>
          <w:rFonts w:ascii="Times New Roman" w:hAnsi="Times New Roman" w:cs="Times New Roman"/>
          <w:sz w:val="22"/>
          <w:szCs w:val="22"/>
        </w:rPr>
        <w:t>Zhenirovskyy</w:t>
      </w:r>
      <w:proofErr w:type="spellEnd"/>
      <w:r w:rsidRPr="00A10471">
        <w:rPr>
          <w:rFonts w:ascii="Times New Roman" w:hAnsi="Times New Roman" w:cs="Times New Roman"/>
          <w:sz w:val="22"/>
          <w:szCs w:val="22"/>
        </w:rPr>
        <w:t xml:space="preserve">, M., Wong, H. Y., </w:t>
      </w:r>
      <w:proofErr w:type="spellStart"/>
      <w:r w:rsidRPr="00A10471">
        <w:rPr>
          <w:rFonts w:ascii="Times New Roman" w:hAnsi="Times New Roman" w:cs="Times New Roman"/>
          <w:sz w:val="22"/>
          <w:szCs w:val="22"/>
        </w:rPr>
        <w:t>Kohmura</w:t>
      </w:r>
      <w:proofErr w:type="spellEnd"/>
      <w:r w:rsidRPr="00A10471">
        <w:rPr>
          <w:rFonts w:ascii="Times New Roman" w:hAnsi="Times New Roman" w:cs="Times New Roman"/>
          <w:sz w:val="22"/>
          <w:szCs w:val="22"/>
        </w:rPr>
        <w:t xml:space="preserve">, S., Hotta, S., &amp; Inomata, A. (2026). Automatic Generation of Executable BPMN Models from Medical Guidelines (arXiv:2604.07817). </w:t>
      </w:r>
      <w:proofErr w:type="spellStart"/>
      <w:r w:rsidRPr="00A10471">
        <w:rPr>
          <w:rFonts w:ascii="Times New Roman" w:hAnsi="Times New Roman" w:cs="Times New Roman"/>
          <w:sz w:val="22"/>
          <w:szCs w:val="22"/>
        </w:rPr>
        <w:t>arXiv</w:t>
      </w:r>
      <w:proofErr w:type="spellEnd"/>
      <w:r w:rsidRPr="00A10471">
        <w:rPr>
          <w:rFonts w:ascii="Times New Roman" w:hAnsi="Times New Roman" w:cs="Times New Roman"/>
          <w:sz w:val="22"/>
          <w:szCs w:val="22"/>
        </w:rPr>
        <w:t xml:space="preserve">. </w:t>
      </w:r>
      <w:hyperlink r:id="rId10" w:history="1">
        <w:r w:rsidRPr="00A10471">
          <w:rPr>
            <w:rStyle w:val="Hyperlink"/>
            <w:rFonts w:ascii="Times New Roman" w:hAnsi="Times New Roman" w:cs="Times New Roman"/>
            <w:sz w:val="22"/>
            <w:szCs w:val="22"/>
          </w:rPr>
          <w:t>https://doi.org/10.48550/arXiv.2604.07817</w:t>
        </w:r>
      </w:hyperlink>
    </w:p>
    <w:p w14:paraId="6D537B6A" w14:textId="6550BB7E" w:rsidR="00EE0E7A" w:rsidRPr="00A10471" w:rsidRDefault="00EE0E7A" w:rsidP="00962C47">
      <w:pPr>
        <w:rPr>
          <w:rFonts w:ascii="Times New Roman" w:hAnsi="Times New Roman" w:cs="Times New Roman"/>
          <w:sz w:val="22"/>
          <w:szCs w:val="22"/>
        </w:rPr>
      </w:pPr>
      <w:r w:rsidRPr="00A10471">
        <w:rPr>
          <w:rFonts w:ascii="Times New Roman" w:hAnsi="Times New Roman" w:cs="Times New Roman"/>
          <w:sz w:val="22"/>
          <w:szCs w:val="22"/>
        </w:rPr>
        <w:t xml:space="preserve">[6] </w:t>
      </w:r>
      <w:proofErr w:type="spellStart"/>
      <w:r w:rsidRPr="00A10471">
        <w:rPr>
          <w:rFonts w:ascii="Times New Roman" w:hAnsi="Times New Roman" w:cs="Times New Roman"/>
          <w:sz w:val="22"/>
          <w:szCs w:val="22"/>
        </w:rPr>
        <w:t>Aspirion</w:t>
      </w:r>
      <w:proofErr w:type="spellEnd"/>
      <w:r w:rsidRPr="00A10471">
        <w:rPr>
          <w:rFonts w:ascii="Times New Roman" w:hAnsi="Times New Roman" w:cs="Times New Roman"/>
          <w:sz w:val="22"/>
          <w:szCs w:val="22"/>
        </w:rPr>
        <w:t xml:space="preserve">. (2026, January 28). AI Contract Modeling Turns Payer Complexity </w:t>
      </w:r>
      <w:proofErr w:type="gramStart"/>
      <w:r w:rsidRPr="00A10471">
        <w:rPr>
          <w:rFonts w:ascii="Times New Roman" w:hAnsi="Times New Roman" w:cs="Times New Roman"/>
          <w:sz w:val="22"/>
          <w:szCs w:val="22"/>
        </w:rPr>
        <w:t>Into</w:t>
      </w:r>
      <w:proofErr w:type="gramEnd"/>
      <w:r w:rsidRPr="00A10471">
        <w:rPr>
          <w:rFonts w:ascii="Times New Roman" w:hAnsi="Times New Roman" w:cs="Times New Roman"/>
          <w:sz w:val="22"/>
          <w:szCs w:val="22"/>
        </w:rPr>
        <w:t xml:space="preserve"> Revenue. </w:t>
      </w:r>
      <w:proofErr w:type="spellStart"/>
      <w:r w:rsidRPr="00A10471">
        <w:rPr>
          <w:rFonts w:ascii="Times New Roman" w:hAnsi="Times New Roman" w:cs="Times New Roman"/>
          <w:sz w:val="22"/>
          <w:szCs w:val="22"/>
        </w:rPr>
        <w:t>Aspirion</w:t>
      </w:r>
      <w:proofErr w:type="spellEnd"/>
      <w:r w:rsidRPr="00A10471">
        <w:rPr>
          <w:rFonts w:ascii="Times New Roman" w:hAnsi="Times New Roman" w:cs="Times New Roman"/>
          <w:sz w:val="22"/>
          <w:szCs w:val="22"/>
        </w:rPr>
        <w:t xml:space="preserve">. </w:t>
      </w:r>
      <w:hyperlink r:id="rId11" w:history="1">
        <w:r w:rsidRPr="00A10471">
          <w:rPr>
            <w:rStyle w:val="Hyperlink"/>
            <w:rFonts w:ascii="Times New Roman" w:hAnsi="Times New Roman" w:cs="Times New Roman"/>
            <w:sz w:val="22"/>
            <w:szCs w:val="22"/>
          </w:rPr>
          <w:t>https://www.aspirion.com/ai-powered-contract-modeling-turning-payer-complexity-into-recovered-revenue/</w:t>
        </w:r>
      </w:hyperlink>
    </w:p>
    <w:p w14:paraId="55C946D8" w14:textId="718DDCA7" w:rsidR="00EE0E7A" w:rsidRPr="00A10471" w:rsidRDefault="00EE0E7A" w:rsidP="00962C47">
      <w:pPr>
        <w:rPr>
          <w:rFonts w:ascii="Times New Roman" w:hAnsi="Times New Roman" w:cs="Times New Roman"/>
          <w:sz w:val="22"/>
          <w:szCs w:val="22"/>
        </w:rPr>
      </w:pPr>
      <w:r w:rsidRPr="00A10471">
        <w:rPr>
          <w:rFonts w:ascii="Times New Roman" w:hAnsi="Times New Roman" w:cs="Times New Roman"/>
          <w:sz w:val="22"/>
          <w:szCs w:val="22"/>
        </w:rPr>
        <w:t xml:space="preserve">[7] </w:t>
      </w:r>
      <w:r w:rsidRPr="00A10471">
        <w:rPr>
          <w:rFonts w:ascii="Times New Roman" w:hAnsi="Times New Roman" w:cs="Times New Roman"/>
          <w:sz w:val="22"/>
          <w:szCs w:val="22"/>
        </w:rPr>
        <w:t>Payer Policy Changes: How Providers Catch Updates on Time to Avoid Denials | MD Clarity. (n.d.). Retrieved June 30, 2026, from https://www.mdclarity.com/blog/payer-policy-changes</w:t>
      </w:r>
    </w:p>
    <w:p w14:paraId="6D24A484" w14:textId="604E9226" w:rsidR="00EE0E7A" w:rsidRPr="00A10471" w:rsidRDefault="00EE0E7A" w:rsidP="00EE0E7A">
      <w:pPr>
        <w:rPr>
          <w:rFonts w:ascii="Times New Roman" w:hAnsi="Times New Roman" w:cs="Times New Roman"/>
          <w:sz w:val="22"/>
          <w:szCs w:val="22"/>
        </w:rPr>
      </w:pPr>
      <w:r w:rsidRPr="00A10471">
        <w:rPr>
          <w:rFonts w:ascii="Times New Roman" w:hAnsi="Times New Roman" w:cs="Times New Roman"/>
          <w:sz w:val="22"/>
          <w:szCs w:val="22"/>
        </w:rPr>
        <w:t xml:space="preserve">[8] </w:t>
      </w:r>
      <w:r w:rsidRPr="00A10471">
        <w:rPr>
          <w:rFonts w:ascii="Times New Roman" w:hAnsi="Times New Roman" w:cs="Times New Roman"/>
          <w:sz w:val="22"/>
          <w:szCs w:val="22"/>
        </w:rPr>
        <w:t xml:space="preserve">5 Workflow Bottlenecks That Are Killing Your Revenue—And How to Fix Them. (n.d.). Retrieved June 30, 2026, from </w:t>
      </w:r>
      <w:hyperlink r:id="rId12" w:history="1">
        <w:r w:rsidRPr="00A10471">
          <w:rPr>
            <w:rStyle w:val="Hyperlink"/>
            <w:rFonts w:ascii="Times New Roman" w:hAnsi="Times New Roman" w:cs="Times New Roman"/>
            <w:sz w:val="22"/>
            <w:szCs w:val="22"/>
          </w:rPr>
          <w:t>https://www.os-healthcare.com/news-and-blog/5-workflow-bottlenecks-that-are-killing-your-revenue-and-how-to-fix-them</w:t>
        </w:r>
      </w:hyperlink>
    </w:p>
    <w:p w14:paraId="7120D24B" w14:textId="2A09751F" w:rsidR="00EE0E7A" w:rsidRPr="00A10471" w:rsidRDefault="00EE0E7A" w:rsidP="00EE0E7A">
      <w:pPr>
        <w:rPr>
          <w:rFonts w:ascii="Times New Roman" w:hAnsi="Times New Roman" w:cs="Times New Roman"/>
          <w:sz w:val="22"/>
          <w:szCs w:val="22"/>
        </w:rPr>
      </w:pPr>
      <w:r w:rsidRPr="00A10471">
        <w:rPr>
          <w:rFonts w:ascii="Times New Roman" w:hAnsi="Times New Roman" w:cs="Times New Roman"/>
          <w:sz w:val="22"/>
          <w:szCs w:val="22"/>
        </w:rPr>
        <w:t xml:space="preserve">[9] </w:t>
      </w:r>
      <w:r w:rsidRPr="00A10471">
        <w:rPr>
          <w:rFonts w:ascii="Times New Roman" w:hAnsi="Times New Roman" w:cs="Times New Roman"/>
          <w:sz w:val="22"/>
          <w:szCs w:val="22"/>
        </w:rPr>
        <w:t xml:space="preserve">Turning Unstructured Healthcare Data into Answers with Retrieval Augmented Generation. (2026, February 5). </w:t>
      </w:r>
      <w:hyperlink r:id="rId13" w:history="1">
        <w:r w:rsidRPr="00A10471">
          <w:rPr>
            <w:rStyle w:val="Hyperlink"/>
            <w:rFonts w:ascii="Times New Roman" w:hAnsi="Times New Roman" w:cs="Times New Roman"/>
            <w:sz w:val="22"/>
            <w:szCs w:val="22"/>
          </w:rPr>
          <w:t>https://healthedge.com/resources/blog/turning-unstructured-healthcare-data-into-answers-with-retrieval-augmented-generation</w:t>
        </w:r>
      </w:hyperlink>
    </w:p>
    <w:p w14:paraId="42957702" w14:textId="5A8A74BE" w:rsidR="00EE0E7A" w:rsidRPr="00A10471" w:rsidRDefault="00EE0E7A" w:rsidP="00EE0E7A">
      <w:pPr>
        <w:rPr>
          <w:rFonts w:ascii="Times New Roman" w:hAnsi="Times New Roman" w:cs="Times New Roman"/>
          <w:sz w:val="22"/>
          <w:szCs w:val="22"/>
        </w:rPr>
      </w:pPr>
      <w:r w:rsidRPr="00A10471">
        <w:rPr>
          <w:rFonts w:ascii="Times New Roman" w:hAnsi="Times New Roman" w:cs="Times New Roman"/>
          <w:sz w:val="22"/>
          <w:szCs w:val="22"/>
        </w:rPr>
        <w:t xml:space="preserve">[10] </w:t>
      </w:r>
      <w:r w:rsidRPr="00A10471">
        <w:rPr>
          <w:rFonts w:ascii="Times New Roman" w:hAnsi="Times New Roman" w:cs="Times New Roman"/>
          <w:sz w:val="22"/>
          <w:szCs w:val="22"/>
        </w:rPr>
        <w:t xml:space="preserve">Document Comparison Agent | AI Agents for Document Comparison. (n.d.). </w:t>
      </w:r>
      <w:proofErr w:type="spellStart"/>
      <w:r w:rsidRPr="00A10471">
        <w:rPr>
          <w:rFonts w:ascii="Times New Roman" w:hAnsi="Times New Roman" w:cs="Times New Roman"/>
          <w:sz w:val="22"/>
          <w:szCs w:val="22"/>
        </w:rPr>
        <w:t>ZBrain</w:t>
      </w:r>
      <w:proofErr w:type="spellEnd"/>
      <w:r w:rsidRPr="00A10471">
        <w:rPr>
          <w:rFonts w:ascii="Times New Roman" w:hAnsi="Times New Roman" w:cs="Times New Roman"/>
          <w:sz w:val="22"/>
          <w:szCs w:val="22"/>
        </w:rPr>
        <w:t>. Retrieved June 30, 2026, from https://zbrain.ai/agents/Utilities/all/Document-Comparison/document-comparison-agent/</w:t>
      </w:r>
    </w:p>
    <w:p w14:paraId="31C840E2" w14:textId="5EC965E2" w:rsidR="00EE0E7A" w:rsidRPr="00A10471" w:rsidRDefault="00EE0E7A" w:rsidP="00EE0E7A">
      <w:pPr>
        <w:rPr>
          <w:rFonts w:ascii="Times New Roman" w:hAnsi="Times New Roman" w:cs="Times New Roman"/>
          <w:sz w:val="22"/>
          <w:szCs w:val="22"/>
        </w:rPr>
      </w:pPr>
      <w:r w:rsidRPr="00A10471">
        <w:rPr>
          <w:rFonts w:ascii="Times New Roman" w:hAnsi="Times New Roman" w:cs="Times New Roman"/>
          <w:sz w:val="22"/>
          <w:szCs w:val="22"/>
        </w:rPr>
        <w:t xml:space="preserve">[11] </w:t>
      </w:r>
      <w:r w:rsidRPr="00A10471">
        <w:rPr>
          <w:rFonts w:ascii="Times New Roman" w:hAnsi="Times New Roman" w:cs="Times New Roman"/>
          <w:sz w:val="22"/>
          <w:szCs w:val="22"/>
        </w:rPr>
        <w:t xml:space="preserve">AI &amp; LLM Automation for Insurance Claims, Prior Authorizations, and Administrative Workflows in Healthcare. (2025, December 5). FRANKI T. </w:t>
      </w:r>
      <w:hyperlink r:id="rId14" w:history="1">
        <w:r w:rsidRPr="00A10471">
          <w:rPr>
            <w:rStyle w:val="Hyperlink"/>
            <w:rFonts w:ascii="Times New Roman" w:hAnsi="Times New Roman" w:cs="Times New Roman"/>
            <w:sz w:val="22"/>
            <w:szCs w:val="22"/>
          </w:rPr>
          <w:t>https://www.francescatabor.com/articles/2025/12/5/ai-amp-llm-automation-for-insurance-claims-prior-authorizations-and-administrative-workflows-in-healthcare</w:t>
        </w:r>
      </w:hyperlink>
    </w:p>
    <w:p w14:paraId="67C0BA2C" w14:textId="6028F9A5" w:rsidR="00EE0E7A" w:rsidRPr="00A10471" w:rsidRDefault="00EE0E7A" w:rsidP="00EE0E7A">
      <w:pPr>
        <w:rPr>
          <w:rFonts w:ascii="Times New Roman" w:hAnsi="Times New Roman" w:cs="Times New Roman"/>
          <w:b/>
          <w:bCs/>
          <w:sz w:val="22"/>
          <w:szCs w:val="22"/>
        </w:rPr>
      </w:pPr>
      <w:r w:rsidRPr="00A10471">
        <w:rPr>
          <w:rFonts w:ascii="Times New Roman" w:hAnsi="Times New Roman" w:cs="Times New Roman"/>
          <w:sz w:val="22"/>
          <w:szCs w:val="22"/>
        </w:rPr>
        <w:t xml:space="preserve">[12] </w:t>
      </w:r>
      <w:r w:rsidRPr="00A10471">
        <w:rPr>
          <w:rFonts w:ascii="Times New Roman" w:hAnsi="Times New Roman" w:cs="Times New Roman"/>
          <w:sz w:val="22"/>
          <w:szCs w:val="22"/>
        </w:rPr>
        <w:t>Security Compliance. (n.d.). Amazon Web Services, Inc. Retrieved June 30, 2026, from https://aws.amazon.com/bedrock/security-compliance/</w:t>
      </w:r>
    </w:p>
    <w:p w14:paraId="5AF192D6" w14:textId="42E64271" w:rsidR="00EE0E7A" w:rsidRPr="00A10471" w:rsidRDefault="00EE0E7A" w:rsidP="00EE0E7A">
      <w:pPr>
        <w:rPr>
          <w:rFonts w:ascii="Times New Roman" w:hAnsi="Times New Roman" w:cs="Times New Roman"/>
          <w:sz w:val="22"/>
          <w:szCs w:val="22"/>
        </w:rPr>
      </w:pPr>
      <w:r w:rsidRPr="00A10471">
        <w:rPr>
          <w:rFonts w:ascii="Times New Roman" w:hAnsi="Times New Roman" w:cs="Times New Roman"/>
          <w:sz w:val="22"/>
          <w:szCs w:val="22"/>
        </w:rPr>
        <w:t xml:space="preserve">[13] </w:t>
      </w:r>
      <w:r w:rsidRPr="00A10471">
        <w:rPr>
          <w:rFonts w:ascii="Times New Roman" w:hAnsi="Times New Roman" w:cs="Times New Roman"/>
          <w:sz w:val="22"/>
          <w:szCs w:val="22"/>
        </w:rPr>
        <w:t xml:space="preserve">Is Amazon Bedrock HIPAA‑Eligible? What to Know About the AWS BAA and Using PHI. (2025, June 23). </w:t>
      </w:r>
      <w:proofErr w:type="spellStart"/>
      <w:r w:rsidRPr="00A10471">
        <w:rPr>
          <w:rFonts w:ascii="Times New Roman" w:hAnsi="Times New Roman" w:cs="Times New Roman"/>
          <w:sz w:val="22"/>
          <w:szCs w:val="22"/>
        </w:rPr>
        <w:t>AccountableHQ</w:t>
      </w:r>
      <w:proofErr w:type="spellEnd"/>
      <w:r w:rsidRPr="00A10471">
        <w:rPr>
          <w:rFonts w:ascii="Times New Roman" w:hAnsi="Times New Roman" w:cs="Times New Roman"/>
          <w:sz w:val="22"/>
          <w:szCs w:val="22"/>
        </w:rPr>
        <w:t xml:space="preserve">. </w:t>
      </w:r>
      <w:hyperlink r:id="rId15" w:history="1">
        <w:r w:rsidRPr="00A10471">
          <w:rPr>
            <w:rStyle w:val="Hyperlink"/>
            <w:rFonts w:ascii="Times New Roman" w:hAnsi="Times New Roman" w:cs="Times New Roman"/>
            <w:sz w:val="22"/>
            <w:szCs w:val="22"/>
          </w:rPr>
          <w:t>https://www.accountablehq.com/post/is-amazon-bedrock-hipaa-eligible-what-to-know-about-the-aws-baa-and-using-phi</w:t>
        </w:r>
      </w:hyperlink>
    </w:p>
    <w:p w14:paraId="1DE6F095" w14:textId="1994996D" w:rsidR="00EE0E7A" w:rsidRPr="00A10471" w:rsidRDefault="00EE0E7A" w:rsidP="00EE0E7A">
      <w:pPr>
        <w:rPr>
          <w:rFonts w:ascii="Times New Roman" w:hAnsi="Times New Roman" w:cs="Times New Roman"/>
          <w:sz w:val="22"/>
          <w:szCs w:val="22"/>
        </w:rPr>
      </w:pPr>
      <w:r w:rsidRPr="00A10471">
        <w:rPr>
          <w:rFonts w:ascii="Times New Roman" w:hAnsi="Times New Roman" w:cs="Times New Roman"/>
          <w:sz w:val="22"/>
          <w:szCs w:val="22"/>
        </w:rPr>
        <w:lastRenderedPageBreak/>
        <w:t xml:space="preserve">[14] </w:t>
      </w:r>
      <w:r w:rsidRPr="00A10471">
        <w:rPr>
          <w:rFonts w:ascii="Times New Roman" w:hAnsi="Times New Roman" w:cs="Times New Roman"/>
          <w:sz w:val="22"/>
          <w:szCs w:val="22"/>
        </w:rPr>
        <w:t xml:space="preserve">Why Traditional OCR Fails on Real-World Documents: The Shift to Intelligent Automation | </w:t>
      </w:r>
      <w:proofErr w:type="spellStart"/>
      <w:r w:rsidRPr="00A10471">
        <w:rPr>
          <w:rFonts w:ascii="Times New Roman" w:hAnsi="Times New Roman" w:cs="Times New Roman"/>
          <w:sz w:val="22"/>
          <w:szCs w:val="22"/>
        </w:rPr>
        <w:t>TurboLens</w:t>
      </w:r>
      <w:proofErr w:type="spellEnd"/>
      <w:r w:rsidRPr="00A10471">
        <w:rPr>
          <w:rFonts w:ascii="Times New Roman" w:hAnsi="Times New Roman" w:cs="Times New Roman"/>
          <w:sz w:val="22"/>
          <w:szCs w:val="22"/>
        </w:rPr>
        <w:t xml:space="preserve"> Blog. (2025, November 1). </w:t>
      </w:r>
      <w:proofErr w:type="spellStart"/>
      <w:r w:rsidRPr="00A10471">
        <w:rPr>
          <w:rFonts w:ascii="Times New Roman" w:hAnsi="Times New Roman" w:cs="Times New Roman"/>
          <w:sz w:val="22"/>
          <w:szCs w:val="22"/>
        </w:rPr>
        <w:t>TurboLens</w:t>
      </w:r>
      <w:proofErr w:type="spellEnd"/>
      <w:r w:rsidRPr="00A10471">
        <w:rPr>
          <w:rFonts w:ascii="Times New Roman" w:hAnsi="Times New Roman" w:cs="Times New Roman"/>
          <w:sz w:val="22"/>
          <w:szCs w:val="22"/>
        </w:rPr>
        <w:t>. https://www.turbolens.io/blog/2025-11-01-why-traditional-ocr-fails-on-real-world-document</w:t>
      </w:r>
    </w:p>
    <w:p w14:paraId="009AF4FC" w14:textId="2B844A73" w:rsidR="00EE0E7A" w:rsidRPr="00A10471" w:rsidRDefault="00EE0E7A" w:rsidP="00EE0E7A">
      <w:pPr>
        <w:rPr>
          <w:rFonts w:ascii="Times New Roman" w:hAnsi="Times New Roman" w:cs="Times New Roman"/>
          <w:sz w:val="22"/>
          <w:szCs w:val="22"/>
        </w:rPr>
      </w:pPr>
      <w:r w:rsidRPr="00A10471">
        <w:rPr>
          <w:rFonts w:ascii="Times New Roman" w:hAnsi="Times New Roman" w:cs="Times New Roman"/>
          <w:sz w:val="22"/>
          <w:szCs w:val="22"/>
        </w:rPr>
        <w:t xml:space="preserve">[15] </w:t>
      </w:r>
      <w:r w:rsidRPr="00A10471">
        <w:rPr>
          <w:rFonts w:ascii="Times New Roman" w:hAnsi="Times New Roman" w:cs="Times New Roman"/>
          <w:sz w:val="22"/>
          <w:szCs w:val="22"/>
        </w:rPr>
        <w:t>Kora, P. (2025, December 14). Understanding LLM’s Inherent Hallucination and Regulatory Risk. Medium. https://consultkora.medium.com/understanding-llms-inherent-hallucination-and-regulatory-risk-b7b779b1d7f7</w:t>
      </w:r>
    </w:p>
    <w:p w14:paraId="1D740BFC" w14:textId="7A8EB9B4" w:rsidR="00962C47" w:rsidRPr="00A10471" w:rsidRDefault="00962C47" w:rsidP="00962C47">
      <w:pPr>
        <w:rPr>
          <w:rFonts w:ascii="Times New Roman" w:hAnsi="Times New Roman" w:cs="Times New Roman"/>
          <w:sz w:val="22"/>
          <w:szCs w:val="22"/>
        </w:rPr>
      </w:pPr>
    </w:p>
    <w:sectPr w:rsidR="00962C47" w:rsidRPr="00A10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03502"/>
    <w:multiLevelType w:val="hybridMultilevel"/>
    <w:tmpl w:val="61429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87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A0"/>
    <w:rsid w:val="00061FA0"/>
    <w:rsid w:val="00232C43"/>
    <w:rsid w:val="002B6124"/>
    <w:rsid w:val="004A7478"/>
    <w:rsid w:val="00525990"/>
    <w:rsid w:val="005803D5"/>
    <w:rsid w:val="005939AE"/>
    <w:rsid w:val="005B7739"/>
    <w:rsid w:val="00611784"/>
    <w:rsid w:val="00686B85"/>
    <w:rsid w:val="006B0EFC"/>
    <w:rsid w:val="00723C5A"/>
    <w:rsid w:val="00726071"/>
    <w:rsid w:val="007C1C23"/>
    <w:rsid w:val="00962C47"/>
    <w:rsid w:val="009D038A"/>
    <w:rsid w:val="00A10471"/>
    <w:rsid w:val="00C77AD5"/>
    <w:rsid w:val="00CF1FA8"/>
    <w:rsid w:val="00D16F26"/>
    <w:rsid w:val="00EA4084"/>
    <w:rsid w:val="00EE0E7A"/>
    <w:rsid w:val="00FC7610"/>
    <w:rsid w:val="00FF4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3E6B"/>
  <w15:chartTrackingRefBased/>
  <w15:docId w15:val="{A37FB6BF-86E9-44C0-922B-686F5A585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FA0"/>
    <w:rPr>
      <w:rFonts w:eastAsiaTheme="majorEastAsia" w:cstheme="majorBidi"/>
      <w:color w:val="272727" w:themeColor="text1" w:themeTint="D8"/>
    </w:rPr>
  </w:style>
  <w:style w:type="paragraph" w:styleId="Title">
    <w:name w:val="Title"/>
    <w:basedOn w:val="Normal"/>
    <w:next w:val="Normal"/>
    <w:link w:val="TitleChar"/>
    <w:uiPriority w:val="10"/>
    <w:qFormat/>
    <w:rsid w:val="00061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FA0"/>
    <w:pPr>
      <w:spacing w:before="160"/>
      <w:jc w:val="center"/>
    </w:pPr>
    <w:rPr>
      <w:i/>
      <w:iCs/>
      <w:color w:val="404040" w:themeColor="text1" w:themeTint="BF"/>
    </w:rPr>
  </w:style>
  <w:style w:type="character" w:customStyle="1" w:styleId="QuoteChar">
    <w:name w:val="Quote Char"/>
    <w:basedOn w:val="DefaultParagraphFont"/>
    <w:link w:val="Quote"/>
    <w:uiPriority w:val="29"/>
    <w:rsid w:val="00061FA0"/>
    <w:rPr>
      <w:i/>
      <w:iCs/>
      <w:color w:val="404040" w:themeColor="text1" w:themeTint="BF"/>
    </w:rPr>
  </w:style>
  <w:style w:type="paragraph" w:styleId="ListParagraph">
    <w:name w:val="List Paragraph"/>
    <w:basedOn w:val="Normal"/>
    <w:uiPriority w:val="34"/>
    <w:qFormat/>
    <w:rsid w:val="00061FA0"/>
    <w:pPr>
      <w:ind w:left="720"/>
      <w:contextualSpacing/>
    </w:pPr>
  </w:style>
  <w:style w:type="character" w:styleId="IntenseEmphasis">
    <w:name w:val="Intense Emphasis"/>
    <w:basedOn w:val="DefaultParagraphFont"/>
    <w:uiPriority w:val="21"/>
    <w:qFormat/>
    <w:rsid w:val="00061FA0"/>
    <w:rPr>
      <w:i/>
      <w:iCs/>
      <w:color w:val="0F4761" w:themeColor="accent1" w:themeShade="BF"/>
    </w:rPr>
  </w:style>
  <w:style w:type="paragraph" w:styleId="IntenseQuote">
    <w:name w:val="Intense Quote"/>
    <w:basedOn w:val="Normal"/>
    <w:next w:val="Normal"/>
    <w:link w:val="IntenseQuoteChar"/>
    <w:uiPriority w:val="30"/>
    <w:qFormat/>
    <w:rsid w:val="00061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FA0"/>
    <w:rPr>
      <w:i/>
      <w:iCs/>
      <w:color w:val="0F4761" w:themeColor="accent1" w:themeShade="BF"/>
    </w:rPr>
  </w:style>
  <w:style w:type="character" w:styleId="IntenseReference">
    <w:name w:val="Intense Reference"/>
    <w:basedOn w:val="DefaultParagraphFont"/>
    <w:uiPriority w:val="32"/>
    <w:qFormat/>
    <w:rsid w:val="00061FA0"/>
    <w:rPr>
      <w:b/>
      <w:bCs/>
      <w:smallCaps/>
      <w:color w:val="0F4761" w:themeColor="accent1" w:themeShade="BF"/>
      <w:spacing w:val="5"/>
    </w:rPr>
  </w:style>
  <w:style w:type="character" w:styleId="Hyperlink">
    <w:name w:val="Hyperlink"/>
    <w:basedOn w:val="DefaultParagraphFont"/>
    <w:uiPriority w:val="99"/>
    <w:unhideWhenUsed/>
    <w:rsid w:val="00FF49B1"/>
    <w:rPr>
      <w:color w:val="467886" w:themeColor="hyperlink"/>
      <w:u w:val="single"/>
    </w:rPr>
  </w:style>
  <w:style w:type="character" w:styleId="UnresolvedMention">
    <w:name w:val="Unresolved Mention"/>
    <w:basedOn w:val="DefaultParagraphFont"/>
    <w:uiPriority w:val="99"/>
    <w:semiHidden/>
    <w:unhideWhenUsed/>
    <w:rsid w:val="00FF4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9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ooks/NBK390308/" TargetMode="External"/><Relationship Id="rId13" Type="http://schemas.openxmlformats.org/officeDocument/2006/relationships/hyperlink" Target="https://healthedge.com/resources/blog/turning-unstructured-healthcare-data-into-answers-with-retrieval-augmented-generation" TargetMode="External"/><Relationship Id="rId3" Type="http://schemas.openxmlformats.org/officeDocument/2006/relationships/styles" Target="styles.xml"/><Relationship Id="rId7" Type="http://schemas.openxmlformats.org/officeDocument/2006/relationships/hyperlink" Target="https://www.outsourcestrategies.com/blog/strategies-improve-medical-billing-coding-compliance/" TargetMode="External"/><Relationship Id="rId12" Type="http://schemas.openxmlformats.org/officeDocument/2006/relationships/hyperlink" Target="https://www.os-healthcare.com/news-and-blog/5-workflow-bottlenecks-that-are-killing-your-revenue-and-how-to-fix-the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63116/LFYE5539" TargetMode="External"/><Relationship Id="rId11" Type="http://schemas.openxmlformats.org/officeDocument/2006/relationships/hyperlink" Target="https://www.aspirion.com/ai-powered-contract-modeling-turning-payer-complexity-into-recovered-revenue/" TargetMode="External"/><Relationship Id="rId5" Type="http://schemas.openxmlformats.org/officeDocument/2006/relationships/webSettings" Target="webSettings.xml"/><Relationship Id="rId15" Type="http://schemas.openxmlformats.org/officeDocument/2006/relationships/hyperlink" Target="https://www.accountablehq.com/post/is-amazon-bedrock-hipaa-eligible-what-to-know-about-the-aws-baa-and-using-phi" TargetMode="External"/><Relationship Id="rId10" Type="http://schemas.openxmlformats.org/officeDocument/2006/relationships/hyperlink" Target="https://doi.org/10.48550/arXiv.2604.07817" TargetMode="External"/><Relationship Id="rId4" Type="http://schemas.openxmlformats.org/officeDocument/2006/relationships/settings" Target="settings.xml"/><Relationship Id="rId9" Type="http://schemas.openxmlformats.org/officeDocument/2006/relationships/hyperlink" Target="https://www.icertis.com/learn/what-is-payor-contracting/" TargetMode="External"/><Relationship Id="rId14" Type="http://schemas.openxmlformats.org/officeDocument/2006/relationships/hyperlink" Target="https://www.francescatabor.com/articles/2025/12/5/ai-amp-llm-automation-for-insurance-claims-prior-authorizations-and-administrative-workflows-in-health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1819A-9454-48C3-9A94-C99184608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4</Pages>
  <Words>1667</Words>
  <Characters>9504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Shinde, Shivam Dattatray</dc:creator>
  <cp:keywords/>
  <dc:description/>
  <cp:lastModifiedBy>Shinde, Shivam Dattatray</cp:lastModifiedBy>
  <cp:revision>6</cp:revision>
  <dcterms:created xsi:type="dcterms:W3CDTF">2026-06-29T18:38:00Z</dcterms:created>
  <dcterms:modified xsi:type="dcterms:W3CDTF">2026-06-30T21:27:00Z</dcterms:modified>
</cp:coreProperties>
</file>