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Environment Config Reference</w:t>
      </w:r>
    </w:p>
    <w:p>
      <w:r>
        <w:rPr>
          <w:i/>
        </w:rPr>
        <w:t>Personal Knowledge Graph Agent</w:t>
      </w:r>
    </w:p>
    <w:p>
      <w:r>
        <w:t>Last refreshed 2026-09-03 to match the current implementation. See DECISIONS.md and FLOW.md in the repo root for the detailed, continuously-updated record of implementation decisions and runtime call chains -- this document gives the higher-level picture.</w:t>
      </w:r>
    </w:p>
    <w:p>
      <w:pPr>
        <w:pStyle w:val="Heading1"/>
      </w:pPr>
      <w:r>
        <w:t>config/.env (application secrets/paths -- gitignored)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Variable</w:t>
            </w:r>
          </w:p>
        </w:tc>
        <w:tc>
          <w:tcPr>
            <w:tcW w:type="dxa" w:w="4320"/>
          </w:tcPr>
          <w:p>
            <w:r>
              <w:t>Purpose</w:t>
            </w:r>
          </w:p>
        </w:tc>
      </w:tr>
      <w:tr>
        <w:tc>
          <w:tcPr>
            <w:tcW w:type="dxa" w:w="4320"/>
          </w:tcPr>
          <w:p>
            <w:r>
              <w:t>NOTION_API_KEY</w:t>
            </w:r>
          </w:p>
        </w:tc>
        <w:tc>
          <w:tcPr>
            <w:tcW w:type="dxa" w:w="4320"/>
          </w:tcPr>
          <w:p>
            <w:r>
              <w:t>Notion integration token</w:t>
            </w:r>
          </w:p>
        </w:tc>
      </w:tr>
      <w:tr>
        <w:tc>
          <w:tcPr>
            <w:tcW w:type="dxa" w:w="4320"/>
          </w:tcPr>
          <w:p>
            <w:r>
              <w:t>GMAIL_CREDENTIALS_PATH</w:t>
            </w:r>
          </w:p>
        </w:tc>
        <w:tc>
          <w:tcPr>
            <w:tcW w:type="dxa" w:w="4320"/>
          </w:tcPr>
          <w:p>
            <w:r>
              <w:t>Older manual-setup Gmail OAuth JSON path (optional if using guided OAuth)</w:t>
            </w:r>
          </w:p>
        </w:tc>
      </w:tr>
      <w:tr>
        <w:tc>
          <w:tcPr>
            <w:tcW w:type="dxa" w:w="4320"/>
          </w:tcPr>
          <w:p>
            <w:r>
              <w:t>GITHUB_TOKEN</w:t>
            </w:r>
          </w:p>
        </w:tc>
        <w:tc>
          <w:tcPr>
            <w:tcW w:type="dxa" w:w="4320"/>
          </w:tcPr>
          <w:p>
            <w:r>
              <w:t>GitHub personal access token</w:t>
            </w:r>
          </w:p>
        </w:tc>
      </w:tr>
      <w:tr>
        <w:tc>
          <w:tcPr>
            <w:tcW w:type="dxa" w:w="4320"/>
          </w:tcPr>
          <w:p>
            <w:r>
              <w:t>GOOGLE_CALENDAR_CREDENTIALS_PATH</w:t>
            </w:r>
          </w:p>
        </w:tc>
        <w:tc>
          <w:tcPr>
            <w:tcW w:type="dxa" w:w="4320"/>
          </w:tcPr>
          <w:p>
            <w:r>
              <w:t>Older manual-setup Calendar OAuth JSON path (optional if using guided OAuth)</w:t>
            </w:r>
          </w:p>
        </w:tc>
      </w:tr>
      <w:tr>
        <w:tc>
          <w:tcPr>
            <w:tcW w:type="dxa" w:w="4320"/>
          </w:tcPr>
          <w:p>
            <w:r>
              <w:t>GOOGLE_OAUTH_CLIENT_ID / _SECRET</w:t>
            </w:r>
          </w:p>
        </w:tc>
        <w:tc>
          <w:tcPr>
            <w:tcW w:type="dxa" w:w="4320"/>
          </w:tcPr>
          <w:p>
            <w:r>
              <w:t>Guided-OAuth Desktop app Client ID/Secret -- normally set by the wizard, not by hand</w:t>
            </w:r>
          </w:p>
        </w:tc>
      </w:tr>
      <w:tr>
        <w:tc>
          <w:tcPr>
            <w:tcW w:type="dxa" w:w="4320"/>
          </w:tcPr>
          <w:p>
            <w:r>
              <w:t>BROWSER_HISTORY_PATH</w:t>
            </w:r>
          </w:p>
        </w:tc>
        <w:tc>
          <w:tcPr>
            <w:tcW w:type="dxa" w:w="4320"/>
          </w:tcPr>
          <w:p>
            <w:r>
              <w:t>Absolute path to the browser's History SQLite file</w:t>
            </w:r>
          </w:p>
        </w:tc>
      </w:tr>
      <w:tr>
        <w:tc>
          <w:tcPr>
            <w:tcW w:type="dxa" w:w="4320"/>
          </w:tcPr>
          <w:p>
            <w:r>
              <w:t>LOCAL_FILES_WATCH_DIRS</w:t>
            </w:r>
          </w:p>
        </w:tc>
        <w:tc>
          <w:tcPr>
            <w:tcW w:type="dxa" w:w="4320"/>
          </w:tcPr>
          <w:p>
            <w:r>
              <w:t>Comma-separated watched folders</w:t>
            </w:r>
          </w:p>
        </w:tc>
      </w:tr>
      <w:tr>
        <w:tc>
          <w:tcPr>
            <w:tcW w:type="dxa" w:w="4320"/>
          </w:tcPr>
          <w:p>
            <w:r>
              <w:t>OPENROUTER_API_KEY</w:t>
            </w:r>
          </w:p>
        </w:tc>
        <w:tc>
          <w:tcPr>
            <w:tcW w:type="dxa" w:w="4320"/>
          </w:tcPr>
          <w:p>
            <w:r>
              <w:t>Required for fully_cloud/mixed provider mode</w:t>
            </w:r>
          </w:p>
        </w:tc>
      </w:tr>
      <w:tr>
        <w:tc>
          <w:tcPr>
            <w:tcW w:type="dxa" w:w="4320"/>
          </w:tcPr>
          <w:p>
            <w:r>
              <w:t>OLLAMA_HOST</w:t>
            </w:r>
          </w:p>
        </w:tc>
        <w:tc>
          <w:tcPr>
            <w:tcW w:type="dxa" w:w="4320"/>
          </w:tcPr>
          <w:p>
            <w:r>
              <w:t>Local Ollama base URL</w:t>
            </w:r>
          </w:p>
        </w:tc>
      </w:tr>
      <w:tr>
        <w:tc>
          <w:tcPr>
            <w:tcW w:type="dxa" w:w="4320"/>
          </w:tcPr>
          <w:p>
            <w:r>
              <w:t>SQLITE_DB_PATH / CHROMA_PERSIST_DIR</w:t>
            </w:r>
          </w:p>
        </w:tc>
        <w:tc>
          <w:tcPr>
            <w:tcW w:type="dxa" w:w="4320"/>
          </w:tcPr>
          <w:p>
            <w:r>
              <w:t>Local storage paths</w:t>
            </w:r>
          </w:p>
        </w:tc>
      </w:tr>
      <w:tr>
        <w:tc>
          <w:tcPr>
            <w:tcW w:type="dxa" w:w="4320"/>
          </w:tcPr>
          <w:p>
            <w:r>
              <w:t>NEO4J_URI / NEO4J_USER / NEO4J_PASSWORD</w:t>
            </w:r>
          </w:p>
        </w:tc>
        <w:tc>
          <w:tcPr>
            <w:tcW w:type="dxa" w:w="4320"/>
          </w:tcPr>
          <w:p>
            <w:r>
              <w:t>Neo4j connection -- under Docker, USER/PASSWORD are overridden by docker-compose.yml to always match the neo4j service's own NEO4J_AUTH</w:t>
            </w:r>
          </w:p>
        </w:tc>
      </w:tr>
      <w:tr>
        <w:tc>
          <w:tcPr>
            <w:tcW w:type="dxa" w:w="4320"/>
          </w:tcPr>
          <w:p>
            <w:r>
              <w:t>LOG_LEVEL</w:t>
            </w:r>
          </w:p>
        </w:tc>
        <w:tc>
          <w:tcPr>
            <w:tcW w:type="dxa" w:w="4320"/>
          </w:tcPr>
          <w:p>
            <w:r>
              <w:t>DEBUG|INFO|WARNING|ERROR</w:t>
            </w:r>
          </w:p>
        </w:tc>
      </w:tr>
      <w:tr>
        <w:tc>
          <w:tcPr>
            <w:tcW w:type="dxa" w:w="4320"/>
          </w:tcPr>
          <w:p>
            <w:r>
              <w:t>FASTAPI_PORT</w:t>
            </w:r>
          </w:p>
        </w:tc>
        <w:tc>
          <w:tcPr>
            <w:tcW w:type="dxa" w:w="4320"/>
          </w:tcPr>
          <w:p>
            <w:r>
              <w:t>Backend bind port</w:t>
            </w:r>
          </w:p>
        </w:tc>
      </w:tr>
      <w:tr>
        <w:tc>
          <w:tcPr>
            <w:tcW w:type="dxa" w:w="4320"/>
          </w:tcPr>
          <w:p>
            <w:r>
              <w:t>LANGSMITH_API_KEY / LANGSMITH_PROJECT</w:t>
            </w:r>
          </w:p>
        </w:tc>
        <w:tc>
          <w:tcPr>
            <w:tcW w:type="dxa" w:w="4320"/>
          </w:tcPr>
          <w:p>
            <w:r>
              <w:t>Tracing and evaluation</w:t>
            </w:r>
          </w:p>
        </w:tc>
      </w:tr>
      <w:tr>
        <w:tc>
          <w:tcPr>
            <w:tcW w:type="dxa" w:w="4320"/>
          </w:tcPr>
          <w:p>
            <w:r>
              <w:t>RUNNING_IN_DOCKER</w:t>
            </w:r>
          </w:p>
        </w:tc>
        <w:tc>
          <w:tcPr>
            <w:tcW w:type="dxa" w:w="4320"/>
          </w:tcPr>
          <w:p>
            <w:r>
              <w:t>Set by docker-compose.yml itself -- never by hand</w:t>
            </w:r>
          </w:p>
        </w:tc>
      </w:tr>
    </w:tbl>
    <w:p/>
    <w:p>
      <w:pPr>
        <w:pStyle w:val="Heading1"/>
      </w:pPr>
      <w:r>
        <w:t>Root .env (docker-compose.yml's own variables -- gitignored)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Variable</w:t>
            </w:r>
          </w:p>
        </w:tc>
        <w:tc>
          <w:tcPr>
            <w:tcW w:type="dxa" w:w="2880"/>
          </w:tcPr>
          <w:p>
            <w:r>
              <w:t>Default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NEO4J_PASSWORD</w:t>
            </w:r>
          </w:p>
        </w:tc>
        <w:tc>
          <w:tcPr>
            <w:tcW w:type="dxa" w:w="2880"/>
          </w:tcPr>
          <w:p>
            <w:r>
              <w:t>pkg-agent-local</w:t>
            </w:r>
          </w:p>
        </w:tc>
        <w:tc>
          <w:tcPr>
            <w:tcW w:type="dxa" w:w="2880"/>
          </w:tcPr>
          <w:p>
            <w:r>
              <w:t>Neo4j server password -- change if this machine is on a shared network</w:t>
            </w:r>
          </w:p>
        </w:tc>
      </w:tr>
      <w:tr>
        <w:tc>
          <w:tcPr>
            <w:tcW w:type="dxa" w:w="2880"/>
          </w:tcPr>
          <w:p>
            <w:r>
              <w:t>HOST_STORAGE_DIR</w:t>
            </w:r>
          </w:p>
        </w:tc>
        <w:tc>
          <w:tcPr>
            <w:tcW w:type="dxa" w:w="2880"/>
          </w:tcPr>
          <w:p>
            <w:r>
              <w:t>./docker/storage</w:t>
            </w:r>
          </w:p>
        </w:tc>
        <w:tc>
          <w:tcPr>
            <w:tcW w:type="dxa" w:w="2880"/>
          </w:tcPr>
          <w:p>
            <w:r>
              <w:t>Real host folder SQLite/Chroma's data lives under</w:t>
            </w:r>
          </w:p>
        </w:tc>
      </w:tr>
      <w:tr>
        <w:tc>
          <w:tcPr>
            <w:tcW w:type="dxa" w:w="2880"/>
          </w:tcPr>
          <w:p>
            <w:r>
              <w:t>HOST_WATCH_DIR</w:t>
            </w:r>
          </w:p>
        </w:tc>
        <w:tc>
          <w:tcPr>
            <w:tcW w:type="dxa" w:w="2880"/>
          </w:tcPr>
          <w:p>
            <w:r>
              <w:t>(unset -&gt; empty mount)</w:t>
            </w:r>
          </w:p>
        </w:tc>
        <w:tc>
          <w:tcPr>
            <w:tcW w:type="dxa" w:w="2880"/>
          </w:tcPr>
          <w:p>
            <w:r>
              <w:t>Host folder for the Local Files source</w:t>
            </w:r>
          </w:p>
        </w:tc>
      </w:tr>
      <w:tr>
        <w:tc>
          <w:tcPr>
            <w:tcW w:type="dxa" w:w="2880"/>
          </w:tcPr>
          <w:p>
            <w:r>
              <w:t>HOST_DATA_DIR</w:t>
            </w:r>
          </w:p>
        </w:tc>
        <w:tc>
          <w:tcPr>
            <w:tcW w:type="dxa" w:w="2880"/>
          </w:tcPr>
          <w:p>
            <w:r>
              <w:t>(unset -&gt; empty mount)</w:t>
            </w:r>
          </w:p>
        </w:tc>
        <w:tc>
          <w:tcPr>
            <w:tcW w:type="dxa" w:w="2880"/>
          </w:tcPr>
          <w:p>
            <w:r>
              <w:t>Host folder for browser history / other mounted files</w:t>
            </w:r>
          </w:p>
        </w:tc>
      </w:tr>
      <w:tr>
        <w:tc>
          <w:tcPr>
            <w:tcW w:type="dxa" w:w="2880"/>
          </w:tcPr>
          <w:p>
            <w:r>
              <w:t>HOST_FRONTEND_PORT</w:t>
            </w:r>
          </w:p>
        </w:tc>
        <w:tc>
          <w:tcPr>
            <w:tcW w:type="dxa" w:w="2880"/>
          </w:tcPr>
          <w:p>
            <w:r>
              <w:t>3000</w:t>
            </w:r>
          </w:p>
        </w:tc>
        <w:tc>
          <w:tcPr>
            <w:tcW w:type="dxa" w:w="2880"/>
          </w:tcPr>
          <w:p>
            <w:r>
              <w:t>Published frontend port</w:t>
            </w:r>
          </w:p>
        </w:tc>
      </w:tr>
      <w:tr>
        <w:tc>
          <w:tcPr>
            <w:tcW w:type="dxa" w:w="2880"/>
          </w:tcPr>
          <w:p>
            <w:r>
              <w:t>HOST_BACKEND_PORT</w:t>
            </w:r>
          </w:p>
        </w:tc>
        <w:tc>
          <w:tcPr>
            <w:tcW w:type="dxa" w:w="2880"/>
          </w:tcPr>
          <w:p>
            <w:r>
              <w:t>8080</w:t>
            </w:r>
          </w:p>
        </w:tc>
        <w:tc>
          <w:tcPr>
            <w:tcW w:type="dxa" w:w="2880"/>
          </w:tcPr>
          <w:p>
            <w:r>
              <w:t>Published backend port</w:t>
            </w:r>
          </w:p>
        </w:tc>
      </w:tr>
      <w:tr>
        <w:tc>
          <w:tcPr>
            <w:tcW w:type="dxa" w:w="2880"/>
          </w:tcPr>
          <w:p>
            <w:r>
              <w:t>HOST_NEO4J_HTTP_PORT / _BOLT_PORT</w:t>
            </w:r>
          </w:p>
        </w:tc>
        <w:tc>
          <w:tcPr>
            <w:tcW w:type="dxa" w:w="2880"/>
          </w:tcPr>
          <w:p>
            <w:r>
              <w:t>7474 / 7687</w:t>
            </w:r>
          </w:p>
        </w:tc>
        <w:tc>
          <w:tcPr>
            <w:tcW w:type="dxa" w:w="2880"/>
          </w:tcPr>
          <w:p>
            <w:r>
              <w:t>Published Neo4j ports</w:t>
            </w:r>
          </w:p>
        </w:tc>
      </w:tr>
      <w:tr>
        <w:tc>
          <w:tcPr>
            <w:tcW w:type="dxa" w:w="2880"/>
          </w:tcPr>
          <w:p>
            <w:r>
              <w:t>HOST_OLLAMA_PORT</w:t>
            </w:r>
          </w:p>
        </w:tc>
        <w:tc>
          <w:tcPr>
            <w:tcW w:type="dxa" w:w="2880"/>
          </w:tcPr>
          <w:p>
            <w:r>
              <w:t>11434</w:t>
            </w:r>
          </w:p>
        </w:tc>
        <w:tc>
          <w:tcPr>
            <w:tcW w:type="dxa" w:w="2880"/>
          </w:tcPr>
          <w:p>
            <w:r>
              <w:t>Published Ollama port</w:t>
            </w:r>
          </w:p>
        </w:tc>
      </w:tr>
      <w:tr>
        <w:tc>
          <w:tcPr>
            <w:tcW w:type="dxa" w:w="2880"/>
          </w:tcPr>
          <w:p>
            <w:r>
              <w:t>COMPOSE_PROFILES</w:t>
            </w:r>
          </w:p>
        </w:tc>
        <w:tc>
          <w:tcPr>
            <w:tcW w:type="dxa" w:w="2880"/>
          </w:tcPr>
          <w:p>
            <w:r>
              <w:t>(unset)</w:t>
            </w:r>
          </w:p>
        </w:tc>
        <w:tc>
          <w:tcPr>
            <w:tcW w:type="dxa" w:w="2880"/>
          </w:tcPr>
          <w:p>
            <w:r>
              <w:t>Set to local-llm to also start the Ollama container</w:t>
            </w:r>
          </w:p>
        </w:tc>
      </w:tr>
    </w:tbl>
    <w:p/>
    <w:p>
      <w:pPr>
        <w:pStyle w:val="Heading1"/>
      </w:pPr>
      <w:r>
        <w:t>config/config.yaml (non-secret settings)</w:t>
      </w:r>
    </w:p>
    <w:p>
      <w:pPr>
        <w:pStyle w:val="ListBullet"/>
      </w:pPr>
      <w:r>
        <w:t>llm: provider_mode, per-mode generation/embedding models, cloud_max_tokens</w:t>
      </w:r>
    </w:p>
    <w:p>
      <w:pPr>
        <w:pStyle w:val="ListBullet"/>
      </w:pPr>
      <w:r>
        <w:t>ingestion: schedule (cron expression, default 11pm daily), batch_metadata_group_size</w:t>
      </w:r>
    </w:p>
    <w:p>
      <w:pPr>
        <w:pStyle w:val="ListBullet"/>
      </w:pPr>
      <w:r>
        <w:t>filters: min_content_length, per-source rules (browser_history min_visit_count/domain_blocklist, gmail excluded_labels, calendar skip_recurring_without_description)</w:t>
      </w:r>
    </w:p>
    <w:p>
      <w:pPr>
        <w:pStyle w:val="ListBullet"/>
      </w:pPr>
      <w:r>
        <w:t>chunking: target_chunk_size_tokens, chunk_overlap_tokens</w:t>
      </w:r>
    </w:p>
    <w:p>
      <w:pPr>
        <w:pStyle w:val="ListBullet"/>
      </w:pPr>
      <w:r>
        <w:t>retrieval: top_k_vector, top_k_keyword, relationship_candidate_count, relationship_confidence_threshold, relationship_candidate_max_distance</w:t>
      </w:r>
    </w:p>
    <w:p>
      <w:pPr>
        <w:pStyle w:val="Heading1"/>
      </w:pPr>
      <w:r>
        <w:t>Setup Checklist</w:t>
      </w:r>
    </w:p>
    <w:p>
      <w:pPr>
        <w:pStyle w:val="ListBullet"/>
      </w:pPr>
      <w:r>
        <w:t>Docker (recommended): cp .env.docker.example .env, cp config/.env.example config/.env, docker compose up -d --build, then Settings -&gt; Guided setup for everything else.</w:t>
      </w:r>
    </w:p>
    <w:p>
      <w:pPr>
        <w:pStyle w:val="ListBullet"/>
      </w:pPr>
      <w:r>
        <w:t>Manual dev: uv sync, cp config/.env.example config/.env, a running Neo4j instance, uv run python -m api.main, npm install &amp;&amp; npm run dev in frontend/.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