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File / Folder Structure</w:t>
      </w:r>
    </w:p>
    <w:p>
      <w:r>
        <w:rPr>
          <w:i/>
        </w:rPr>
        <w:t>Personal Knowledge Graph Agent</w:t>
      </w:r>
    </w:p>
    <w:p>
      <w:r>
        <w:t>Last refreshed 2026-09-03 to match the current implementation. See DECISIONS.md and FLOW.md in the repo root for the detailed, continuously-updated record of implementation decisions and runtime call chains -- this document gives the higher-level picture.</w:t>
      </w:r>
    </w:p>
    <w:p>
      <w:pPr>
        <w:pStyle w:val="Heading1"/>
      </w:pPr>
      <w:r>
        <w:t>Top-Level Layout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extractors/</w:t>
            </w:r>
          </w:p>
        </w:tc>
        <w:tc>
          <w:tcPr>
            <w:tcW w:type="dxa" w:w="4320"/>
          </w:tcPr>
          <w:p>
            <w:r>
              <w:t>One module per data source, plus base.py's shared contract and google_oauth.py's shared Gmail+Calendar OAuth mechanics</w:t>
            </w:r>
          </w:p>
        </w:tc>
      </w:tr>
      <w:tr>
        <w:tc>
          <w:tcPr>
            <w:tcW w:type="dxa" w:w="4320"/>
          </w:tcPr>
          <w:p>
            <w:r>
              <w:t>pipeline/</w:t>
            </w:r>
          </w:p>
        </w:tc>
        <w:tc>
          <w:tcPr>
            <w:tcW w:type="dxa" w:w="4320"/>
          </w:tcPr>
          <w:p>
            <w:r>
              <w:t>filters.py, chunking.py, metadata.py, embeddings.py, relationships.py</w:t>
            </w:r>
          </w:p>
        </w:tc>
      </w:tr>
      <w:tr>
        <w:tc>
          <w:tcPr>
            <w:tcW w:type="dxa" w:w="4320"/>
          </w:tcPr>
          <w:p>
            <w:r>
              <w:t>storage/</w:t>
            </w:r>
          </w:p>
        </w:tc>
        <w:tc>
          <w:tcPr>
            <w:tcW w:type="dxa" w:w="4320"/>
          </w:tcPr>
          <w:p>
            <w:r>
              <w:t>sqlite_store.py, chroma_store.py, neo4j_store.py</w:t>
            </w:r>
          </w:p>
        </w:tc>
      </w:tr>
      <w:tr>
        <w:tc>
          <w:tcPr>
            <w:tcW w:type="dxa" w:w="4320"/>
          </w:tcPr>
          <w:p>
            <w:r>
              <w:t>providers/</w:t>
            </w:r>
          </w:p>
        </w:tc>
        <w:tc>
          <w:tcPr>
            <w:tcW w:type="dxa" w:w="4320"/>
          </w:tcPr>
          <w:p>
            <w:r>
              <w:t>base.py's ProviderInterface, local_provider.py (Ollama), openrouter_provider.py (OpenRouter)</w:t>
            </w:r>
          </w:p>
        </w:tc>
      </w:tr>
      <w:tr>
        <w:tc>
          <w:tcPr>
            <w:tcW w:type="dxa" w:w="4320"/>
          </w:tcPr>
          <w:p>
            <w:r>
              <w:t>agent/</w:t>
            </w:r>
          </w:p>
        </w:tc>
        <w:tc>
          <w:tcPr>
            <w:tcW w:type="dxa" w:w="4320"/>
          </w:tcPr>
          <w:p>
            <w:r>
              <w:t>LangGraph node wiring (router, search_nodes, graph_traversal, merger, synthesizer, graph.py) plus thin API-facing wrappers (admin, browse, connection_check, google_oauth, ingest_trigger, mounted_files, sources_status, health, tracing)</w:t>
            </w:r>
          </w:p>
        </w:tc>
      </w:tr>
      <w:tr>
        <w:tc>
          <w:tcPr>
            <w:tcW w:type="dxa" w:w="4320"/>
          </w:tcPr>
          <w:p>
            <w:r>
              <w:t>api/</w:t>
            </w:r>
          </w:p>
        </w:tc>
        <w:tc>
          <w:tcPr>
            <w:tcW w:type="dxa" w:w="4320"/>
          </w:tcPr>
          <w:p>
            <w:r>
              <w:t>main.py (FastAPI app, startup/lifespan), schemas.py, routes/ (one module per resource area)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React app -- src/components/ (ChatWindow, SettingsPanel, SetupWizard, GraphView, Sidebar, ...), src/api/client.js (the only module making network calls), src/hooks/</w:t>
            </w:r>
          </w:p>
        </w:tc>
      </w:tr>
      <w:tr>
        <w:tc>
          <w:tcPr>
            <w:tcW w:type="dxa" w:w="4320"/>
          </w:tcPr>
          <w:p>
            <w:r>
              <w:t>scheduler/</w:t>
            </w:r>
          </w:p>
        </w:tc>
        <w:tc>
          <w:tcPr>
            <w:tcW w:type="dxa" w:w="4320"/>
          </w:tcPr>
          <w:p>
            <w:r>
              <w:t>daily_batch.py (the real ingestion entrypoint) and loop.py (the Docker-only polling sidecar wrapper around it)</w:t>
            </w:r>
          </w:p>
        </w:tc>
      </w:tr>
      <w:tr>
        <w:tc>
          <w:tcPr>
            <w:tcW w:type="dxa" w:w="4320"/>
          </w:tcPr>
          <w:p>
            <w:r>
              <w:t>eval/</w:t>
            </w:r>
          </w:p>
        </w:tc>
        <w:tc>
          <w:tcPr>
            <w:tcW w:type="dxa" w:w="4320"/>
          </w:tcPr>
          <w:p>
            <w:r>
              <w:t>run_evaluation.py, evaluators.py, test_questions.json -- the LangSmith evaluation harness</w:t>
            </w:r>
          </w:p>
        </w:tc>
      </w:tr>
      <w:tr>
        <w:tc>
          <w:tcPr>
            <w:tcW w:type="dxa" w:w="4320"/>
          </w:tcPr>
          <w:p>
            <w:r>
              <w:t>config/</w:t>
            </w:r>
          </w:p>
        </w:tc>
        <w:tc>
          <w:tcPr>
            <w:tcW w:type="dxa" w:w="4320"/>
          </w:tcPr>
          <w:p>
            <w:r>
              <w:t>settings.py (typed EnvSettings + config.yaml loader), config.yaml, .env.example</w:t>
            </w:r>
          </w:p>
        </w:tc>
      </w:tr>
      <w:tr>
        <w:tc>
          <w:tcPr>
            <w:tcW w:type="dxa" w:w="4320"/>
          </w:tcPr>
          <w:p>
            <w:r>
              <w:t>docker/</w:t>
            </w:r>
          </w:p>
        </w:tc>
        <w:tc>
          <w:tcPr>
            <w:tcW w:type="dxa" w:w="4320"/>
          </w:tcPr>
          <w:p>
            <w:r>
              <w:t>backend.Dockerfile, frontend.Dockerfile, empty/ and storage/ placeholder mount targets</w:t>
            </w:r>
          </w:p>
        </w:tc>
      </w:tr>
      <w:tr>
        <w:tc>
          <w:tcPr>
            <w:tcW w:type="dxa" w:w="4320"/>
          </w:tcPr>
          <w:p>
            <w:r>
              <w:t>tests/</w:t>
            </w:r>
          </w:p>
        </w:tc>
        <w:tc>
          <w:tcPr>
            <w:tcW w:type="dxa" w:w="4320"/>
          </w:tcPr>
          <w:p>
            <w:r>
              <w:t>Mirrors the source tree exactly, one test module per source module</w:t>
            </w:r>
          </w:p>
        </w:tc>
      </w:tr>
      <w:tr>
        <w:tc>
          <w:tcPr>
            <w:tcW w:type="dxa" w:w="4320"/>
          </w:tcPr>
          <w:p>
            <w:r>
              <w:t>docs/</w:t>
            </w:r>
          </w:p>
        </w:tc>
        <w:tc>
          <w:tcPr>
            <w:tcW w:type="dxa" w:w="4320"/>
          </w:tcPr>
          <w:p>
            <w:r>
              <w:t>This design document set</w:t>
            </w:r>
          </w:p>
        </w:tc>
      </w:tr>
    </w:tbl>
    <w:p/>
    <w:p>
      <w:pPr>
        <w:pStyle w:val="Heading1"/>
      </w:pPr>
      <w:r>
        <w:t>Root Files</w:t>
      </w:r>
    </w:p>
    <w:p>
      <w:pPr>
        <w:pStyle w:val="ListBullet"/>
      </w:pPr>
      <w:r>
        <w:t>docker-compose.yml, .env.docker.example -- the Docker Compose stack definition and its own root-level .env template</w:t>
      </w:r>
    </w:p>
    <w:p>
      <w:pPr>
        <w:pStyle w:val="ListBullet"/>
      </w:pPr>
      <w:r>
        <w:t>DECISIONS.md, FLOW.md -- continuously maintained implementation-decision log and runtime call-chain map</w:t>
      </w:r>
    </w:p>
    <w:p>
      <w:pPr>
        <w:pStyle w:val="ListBullet"/>
      </w:pPr>
      <w:r>
        <w:t>CLAUDE.md, AGENTS.md -- coding-agent instructions, kept in sync with each other</w:t>
      </w:r>
    </w:p>
    <w:p>
      <w:pPr>
        <w:pStyle w:val="ListBullet"/>
      </w:pPr>
      <w:r>
        <w:t>README.md -- the primary human-facing entry point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