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</w:t>
      </w:r>
    </w:p>
    <w:p>
      <w:r>
        <w:rPr>
          <w:i/>
        </w:rPr>
        <w:t>Personal Knowledge Graph Agent</w:t>
      </w:r>
    </w:p>
    <w:p>
      <w:r>
        <w:t>Last refreshed 2026-09-03 to match the current implementation. See DECISIONS.md and FLOW.md in the repo root for the detailed, continuously-updated record of implementation decisions and runtime call chains -- this document gives the higher-level picture.</w:t>
      </w:r>
    </w:p>
    <w:p>
      <w:r>
        <w:t>This document gives the high-level design narrative. The complete, chronological log of individual implementation decisions and their reasoning lives in DECISIONS.md at the repo root -- consult it before re-litigating anything below.</w:t>
      </w:r>
    </w:p>
    <w:p>
      <w:pPr>
        <w:pStyle w:val="Heading1"/>
      </w:pPr>
      <w:r>
        <w:t>Ingestion &amp; Pipeline</w:t>
      </w:r>
    </w:p>
    <w:p>
      <w:r>
        <w:t>A daily scheduled batch (not continuous) trades real-time freshness for cost and simplicity. Each extractor applies its own source-specific noise filtering before a universal minimum-content-length filter. Chunking prefers natural paragraph boundaries, falling back to a sliding window only when no boundary exists. Metadata (project name, topic) is generated via batched LLM calls, not one call per item.</w:t>
      </w:r>
    </w:p>
    <w:p>
      <w:pPr>
        <w:pStyle w:val="Heading1"/>
      </w:pPr>
      <w:r>
        <w:t>Relationship Detection</w:t>
      </w:r>
    </w:p>
    <w:p>
      <w:r>
        <w:t>Vector-similarity candidate narrowing, then LLM confirmation with a closed label vocabulary and a confidence threshold -- never an LLM comparison against the full dataset (O(n) per new item, not O(n^2) overall). This mirrors current practice in the field (e.g. Microsoft GraphRAG's own entity-resolution pattern: shortlist via embeddings, judge via LLM) rather than being a simplification of it. The main capability gap versus a full GraphRAG-style system is the lack of entity-level extraction and community-level summarization -- a deliberate scope choice for a single-user, once-daily system, not an oversight; documented as a possible future direction, not a commitment.</w:t>
      </w:r>
    </w:p>
    <w:p>
      <w:pPr>
        <w:pStyle w:val="Heading1"/>
      </w:pPr>
      <w:r>
        <w:t>Provider Abstraction</w:t>
      </w:r>
    </w:p>
    <w:p>
      <w:r>
        <w:t>provider_mode is a single toggle selecting both the generation and embedding model together, since the two must stay vector-space-compatible. Switching modes is treated as destructive (double-confirmed, triggers a full data reset) rather than a quiet setting change.</w:t>
      </w:r>
    </w:p>
    <w:p>
      <w:pPr>
        <w:pStyle w:val="Heading1"/>
      </w:pPr>
      <w:r>
        <w:t>Interface &amp; Guided Setup</w:t>
      </w:r>
    </w:p>
    <w:p>
      <w:r>
        <w:t>The guided setup wizard (issue #92) exists specifically to remove every manual config-file-editing step except the two that are structurally impossible to remove: HOST_WATCH_DIR/HOST_DATA_DIR must be set before the Docker containers start, since a running container cannot mount a new host folder into itself. Google OAuth is driven entirely through the backend's own published callback endpoint rather than a local script + downloaded JSON file, using a Desktop-type OAuth client so Google accepts any localhost/127.0.0.1 redirect without pre-registration.</w:t>
      </w:r>
    </w:p>
    <w:p>
      <w:pPr>
        <w:pStyle w:val="Heading1"/>
      </w:pPr>
      <w:r>
        <w:t>Docker Packaging</w:t>
      </w:r>
    </w:p>
    <w:p>
      <w:r>
        <w:t>SQLite/Chroma's data lives in a real, host-visible bind-mounted folder (HOST_STORAGE_DIR) rather than a Docker-managed named volume, so the data is inspectable without docker volume commands and relocatable via one variable. config/.env is bind-mounted as a whole directory (not a single file, and not via env_file:) -- both alternatives were tried and found broken: env_file: freezes every value as a real OS environment variable that always wins over a later on-disk write, and a single-file mount breaks python-dotenv's atomic-rename write pattern.</w:t>
      </w:r>
    </w:p>
    <w:p>
      <w:pPr>
        <w:pStyle w:val="Heading1"/>
      </w:pPr>
      <w:r>
        <w:t>Testing Strategy</w:t>
      </w:r>
    </w:p>
    <w:p>
      <w:r>
        <w:t>Unit tests mirror the source tree. Several real bugs in this system were found only by running the actual Docker stack end-to-end (a Neo4j password drift between config/.env and the root .env, a Google OAuth insecure-transport failure, a browser-history picker path-format mismatch) -- none of these were catchable by unit tests alone, since they only manifest in the real multi-container, real-network-boundary environment. Live end-to-end testing against a real stack is treated as a required verification step for infrastructure-adjacent changes, not optional polish.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