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56"/>
          <w:szCs w:val="56"/>
        </w:rPr>
        <w:t xml:space="preserve">Personal Knowledge Graph Agent</w:t>
      </w:r>
    </w:p>
    <w:p>
      <w:pPr>
        <w:spacing w:after="100"/>
      </w:pPr>
      <w:r>
        <w:rPr>
          <w:color w:val="555555"/>
          <w:sz w:val="32"/>
          <w:szCs w:val="32"/>
        </w:rPr>
        <w:t xml:space="preserve">Coding Convention Document</w:t>
      </w:r>
    </w:p>
    <w:p>
      <w:pPr>
        <w:spacing w:after="60"/>
      </w:pPr>
      <w:r>
        <w:rPr>
          <w:i/>
          <w:iCs/>
          <w:sz w:val="24"/>
          <w:szCs w:val="24"/>
        </w:rPr>
        <w:t xml:space="preserve">Prepared for: Shivam Shinde</w:t>
      </w:r>
    </w:p>
    <w:p>
      <w:pPr>
        <w:spacing w:after="60"/>
      </w:pPr>
      <w:r>
        <w:rPr>
          <w:i/>
          <w:iCs/>
          <w:sz w:val="24"/>
          <w:szCs w:val="24"/>
        </w:rPr>
        <w:t xml:space="preserve">Companion to: System Architecture Document</w:t>
      </w:r>
    </w:p>
    <w:p>
      <w:pPr>
        <w:spacing w:after="700"/>
      </w:pPr>
    </w:p>
    <w:p>
      <w:pPr>
        <w:pStyle w:val="Heading1"/>
        <w:spacing w:after="200" w:before="400"/>
      </w:pPr>
      <w:r>
        <w:t xml:space="preserve">1. Purpose</w:t>
      </w:r>
    </w:p>
    <w:p>
      <w:pPr>
        <w:spacing w:after="160"/>
      </w:pPr>
      <w:r>
        <w:t xml:space="preserve">This document defines the coding standards applied across the Python backend and the React frontend, so the codebase stays consistent as new sources, providers, and agent nodes are added over time.</w:t>
      </w:r>
    </w:p>
    <w:p>
      <w:pPr>
        <w:pStyle w:val="Heading1"/>
        <w:spacing w:after="200" w:before="400"/>
      </w:pPr>
      <w:r>
        <w:t xml:space="preserve">2. Python Conventions (Backend)</w:t>
      </w:r>
    </w:p>
    <w:p>
      <w:pPr>
        <w:pStyle w:val="Heading2"/>
        <w:spacing w:after="150" w:before="300"/>
      </w:pPr>
      <w:r>
        <w:t xml:space="preserve">2.1 Style and formatting</w:t>
      </w:r>
    </w:p>
    <w:p>
      <w:pPr>
        <w:pStyle w:val="ListParagraph"/>
        <w:numPr>
          <w:ilvl w:val="0"/>
          <w:numId w:val="1"/>
        </w:numPr>
        <w:spacing w:after="80"/>
      </w:pPr>
      <w:r>
        <w:t xml:space="preserve">Follow PEP 8; format all code with black (default line length) and lint with ruff or flake8.</w:t>
      </w:r>
    </w:p>
    <w:p>
      <w:pPr>
        <w:pStyle w:val="ListParagraph"/>
        <w:numPr>
          <w:ilvl w:val="0"/>
          <w:numId w:val="1"/>
        </w:numPr>
        <w:spacing w:after="80"/>
      </w:pPr>
      <w:r>
        <w:t xml:space="preserve">All Python dependency and environment management uses uv exclusively (uv sync, uv add, uv remove, uv run) — never pip install directly, never poetry, never a manually created venv. Dependencies are declared in pyproject.toml with uv.lock as the committed lockfile; no requirements.txt is maintained.</w:t>
      </w:r>
    </w:p>
    <w:p>
      <w:pPr>
        <w:pStyle w:val="ListParagraph"/>
        <w:numPr>
          <w:ilvl w:val="0"/>
          <w:numId w:val="1"/>
        </w:numPr>
        <w:spacing w:after="80"/>
      </w:pPr>
      <w:r>
        <w:t xml:space="preserve">Type hints are required on all function signatures, including return types.</w:t>
      </w:r>
    </w:p>
    <w:p>
      <w:pPr>
        <w:pStyle w:val="ListParagraph"/>
        <w:numPr>
          <w:ilvl w:val="0"/>
          <w:numId w:val="1"/>
        </w:numPr>
        <w:spacing w:after="80"/>
      </w:pPr>
      <w:r>
        <w:t xml:space="preserve">Docstrings use Google style, required on every public function, class, and module.</w:t>
      </w:r>
    </w:p>
    <w:p>
      <w:pPr>
        <w:pStyle w:val="Heading2"/>
        <w:spacing w:after="150" w:before="300"/>
      </w:pPr>
      <w:r>
        <w:t xml:space="preserve">2.2 Naming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600"/>
      </w:tblGrid>
      <w:tr>
        <w:trPr>
          <w:tblHeader/>
        </w:trPr>
        <w:tc>
          <w:tcPr>
            <w:tcW w:type="dxa" w:w="2600"/>
            <w:shd w:fill="D9E2F3" w:color="auto" w:val="clear"/>
            <w:tcMar>
              <w:top w:type="dxa" w:w="80"/>
              <w:left w:type="dxa" w:w="100"/>
              <w:bottom w:type="dxa" w:w="80"/>
              <w:right w:type="dxa" w:w="100"/>
            </w:tcMar>
          </w:tcPr>
          <w:p>
            <w:r>
              <w:rPr>
                <w:b/>
                <w:bCs/>
              </w:rPr>
              <w:t xml:space="preserve">Element</w:t>
            </w:r>
          </w:p>
        </w:tc>
        <w:tc>
          <w:tcPr>
            <w:tcW w:type="dxa" w:w="2800"/>
            <w:shd w:fill="D9E2F3" w:color="auto" w:val="clear"/>
            <w:tcMar>
              <w:top w:type="dxa" w:w="80"/>
              <w:left w:type="dxa" w:w="100"/>
              <w:bottom w:type="dxa" w:w="80"/>
              <w:right w:type="dxa" w:w="100"/>
            </w:tcMar>
          </w:tcPr>
          <w:p>
            <w:r>
              <w:rPr>
                <w:b/>
                <w:bCs/>
              </w:rPr>
              <w:t xml:space="preserve">Convention</w:t>
            </w:r>
          </w:p>
        </w:tc>
        <w:tc>
          <w:tcPr>
            <w:tcW w:type="dxa" w:w="3600"/>
            <w:shd w:fill="D9E2F3" w:color="auto" w:val="clear"/>
            <w:tcMar>
              <w:top w:type="dxa" w:w="80"/>
              <w:left w:type="dxa" w:w="100"/>
              <w:bottom w:type="dxa" w:w="80"/>
              <w:right w:type="dxa" w:w="100"/>
            </w:tcMar>
          </w:tcPr>
          <w:p>
            <w:r>
              <w:rPr>
                <w:b/>
                <w:bCs/>
              </w:rPr>
              <w:t xml:space="preserve">Example</w:t>
            </w:r>
          </w:p>
        </w:tc>
      </w:tr>
      <w:tr>
        <w:tc>
          <w:tcPr>
            <w:tcW w:type="dxa" w:w="2600"/>
            <w:tcMar>
              <w:top w:type="dxa" w:w="80"/>
              <w:left w:type="dxa" w:w="100"/>
              <w:bottom w:type="dxa" w:w="80"/>
              <w:right w:type="dxa" w:w="100"/>
            </w:tcMar>
          </w:tcPr>
          <w:p>
            <w:r>
              <w:rPr>
                <w:b w:val="false"/>
                <w:bCs w:val="false"/>
              </w:rPr>
              <w:t xml:space="preserve">Functions and variables</w:t>
            </w:r>
          </w:p>
        </w:tc>
        <w:tc>
          <w:tcPr>
            <w:tcW w:type="dxa" w:w="2800"/>
            <w:tcMar>
              <w:top w:type="dxa" w:w="80"/>
              <w:left w:type="dxa" w:w="100"/>
              <w:bottom w:type="dxa" w:w="80"/>
              <w:right w:type="dxa" w:w="100"/>
            </w:tcMar>
          </w:tcPr>
          <w:p>
            <w:r>
              <w:rPr>
                <w:b w:val="false"/>
                <w:bCs w:val="false"/>
              </w:rPr>
              <w:t xml:space="preserve">snake_case</w:t>
            </w:r>
          </w:p>
        </w:tc>
        <w:tc>
          <w:tcPr>
            <w:tcW w:type="dxa" w:w="3600"/>
            <w:tcMar>
              <w:top w:type="dxa" w:w="80"/>
              <w:left w:type="dxa" w:w="100"/>
              <w:bottom w:type="dxa" w:w="80"/>
              <w:right w:type="dxa" w:w="100"/>
            </w:tcMar>
          </w:tcPr>
          <w:p>
            <w:r>
              <w:rPr>
                <w:b w:val="false"/>
                <w:bCs w:val="false"/>
              </w:rPr>
              <w:t xml:space="preserve">extract_new_items()</w:t>
            </w:r>
          </w:p>
        </w:tc>
      </w:tr>
      <w:tr>
        <w:tc>
          <w:tcPr>
            <w:tcW w:type="dxa" w:w="2600"/>
            <w:tcMar>
              <w:top w:type="dxa" w:w="80"/>
              <w:left w:type="dxa" w:w="100"/>
              <w:bottom w:type="dxa" w:w="80"/>
              <w:right w:type="dxa" w:w="100"/>
            </w:tcMar>
          </w:tcPr>
          <w:p>
            <w:r>
              <w:rPr>
                <w:b w:val="false"/>
                <w:bCs w:val="false"/>
              </w:rPr>
              <w:t xml:space="preserve">Classes</w:t>
            </w:r>
          </w:p>
        </w:tc>
        <w:tc>
          <w:tcPr>
            <w:tcW w:type="dxa" w:w="2800"/>
            <w:tcMar>
              <w:top w:type="dxa" w:w="80"/>
              <w:left w:type="dxa" w:w="100"/>
              <w:bottom w:type="dxa" w:w="80"/>
              <w:right w:type="dxa" w:w="100"/>
            </w:tcMar>
          </w:tcPr>
          <w:p>
            <w:r>
              <w:rPr>
                <w:b w:val="false"/>
                <w:bCs w:val="false"/>
              </w:rPr>
              <w:t xml:space="preserve">PascalCase</w:t>
            </w:r>
          </w:p>
        </w:tc>
        <w:tc>
          <w:tcPr>
            <w:tcW w:type="dxa" w:w="3600"/>
            <w:tcMar>
              <w:top w:type="dxa" w:w="80"/>
              <w:left w:type="dxa" w:w="100"/>
              <w:bottom w:type="dxa" w:w="80"/>
              <w:right w:type="dxa" w:w="100"/>
            </w:tcMar>
          </w:tcPr>
          <w:p>
            <w:r>
              <w:rPr>
                <w:b w:val="false"/>
                <w:bCs w:val="false"/>
              </w:rPr>
              <w:t xml:space="preserve">NotionExtractor</w:t>
            </w:r>
          </w:p>
        </w:tc>
      </w:tr>
      <w:tr>
        <w:tc>
          <w:tcPr>
            <w:tcW w:type="dxa" w:w="2600"/>
            <w:tcMar>
              <w:top w:type="dxa" w:w="80"/>
              <w:left w:type="dxa" w:w="100"/>
              <w:bottom w:type="dxa" w:w="80"/>
              <w:right w:type="dxa" w:w="100"/>
            </w:tcMar>
          </w:tcPr>
          <w:p>
            <w:r>
              <w:rPr>
                <w:b w:val="false"/>
                <w:bCs w:val="false"/>
              </w:rPr>
              <w:t xml:space="preserve">Constants</w:t>
            </w:r>
          </w:p>
        </w:tc>
        <w:tc>
          <w:tcPr>
            <w:tcW w:type="dxa" w:w="2800"/>
            <w:tcMar>
              <w:top w:type="dxa" w:w="80"/>
              <w:left w:type="dxa" w:w="100"/>
              <w:bottom w:type="dxa" w:w="80"/>
              <w:right w:type="dxa" w:w="100"/>
            </w:tcMar>
          </w:tcPr>
          <w:p>
            <w:r>
              <w:rPr>
                <w:b w:val="false"/>
                <w:bCs w:val="false"/>
              </w:rPr>
              <w:t xml:space="preserve">UPPER_SNAKE_CASE</w:t>
            </w:r>
          </w:p>
        </w:tc>
        <w:tc>
          <w:tcPr>
            <w:tcW w:type="dxa" w:w="3600"/>
            <w:tcMar>
              <w:top w:type="dxa" w:w="80"/>
              <w:left w:type="dxa" w:w="100"/>
              <w:bottom w:type="dxa" w:w="80"/>
              <w:right w:type="dxa" w:w="100"/>
            </w:tcMar>
          </w:tcPr>
          <w:p>
            <w:r>
              <w:rPr>
                <w:b w:val="false"/>
                <w:bCs w:val="false"/>
              </w:rPr>
              <w:t xml:space="preserve">DEFAULT_CHUNK_SIZE</w:t>
            </w:r>
          </w:p>
        </w:tc>
      </w:tr>
      <w:tr>
        <w:tc>
          <w:tcPr>
            <w:tcW w:type="dxa" w:w="2600"/>
            <w:tcMar>
              <w:top w:type="dxa" w:w="80"/>
              <w:left w:type="dxa" w:w="100"/>
              <w:bottom w:type="dxa" w:w="80"/>
              <w:right w:type="dxa" w:w="100"/>
            </w:tcMar>
          </w:tcPr>
          <w:p>
            <w:r>
              <w:rPr>
                <w:b w:val="false"/>
                <w:bCs w:val="false"/>
              </w:rPr>
              <w:t xml:space="preserve">Module / file names</w:t>
            </w:r>
          </w:p>
        </w:tc>
        <w:tc>
          <w:tcPr>
            <w:tcW w:type="dxa" w:w="2800"/>
            <w:tcMar>
              <w:top w:type="dxa" w:w="80"/>
              <w:left w:type="dxa" w:w="100"/>
              <w:bottom w:type="dxa" w:w="80"/>
              <w:right w:type="dxa" w:w="100"/>
            </w:tcMar>
          </w:tcPr>
          <w:p>
            <w:r>
              <w:rPr>
                <w:b w:val="false"/>
                <w:bCs w:val="false"/>
              </w:rPr>
              <w:t xml:space="preserve">snake_case.py</w:t>
            </w:r>
          </w:p>
        </w:tc>
        <w:tc>
          <w:tcPr>
            <w:tcW w:type="dxa" w:w="3600"/>
            <w:tcMar>
              <w:top w:type="dxa" w:w="80"/>
              <w:left w:type="dxa" w:w="100"/>
              <w:bottom w:type="dxa" w:w="80"/>
              <w:right w:type="dxa" w:w="100"/>
            </w:tcMar>
          </w:tcPr>
          <w:p>
            <w:r>
              <w:rPr>
                <w:b w:val="false"/>
                <w:bCs w:val="false"/>
              </w:rPr>
              <w:t xml:space="preserve">relationship_detector.py</w:t>
            </w:r>
          </w:p>
        </w:tc>
      </w:tr>
      <w:tr>
        <w:tc>
          <w:tcPr>
            <w:tcW w:type="dxa" w:w="2600"/>
            <w:tcMar>
              <w:top w:type="dxa" w:w="80"/>
              <w:left w:type="dxa" w:w="100"/>
              <w:bottom w:type="dxa" w:w="80"/>
              <w:right w:type="dxa" w:w="100"/>
            </w:tcMar>
          </w:tcPr>
          <w:p>
            <w:r>
              <w:rPr>
                <w:b w:val="false"/>
                <w:bCs w:val="false"/>
              </w:rPr>
              <w:t xml:space="preserve">Private helpers</w:t>
            </w:r>
          </w:p>
        </w:tc>
        <w:tc>
          <w:tcPr>
            <w:tcW w:type="dxa" w:w="2800"/>
            <w:tcMar>
              <w:top w:type="dxa" w:w="80"/>
              <w:left w:type="dxa" w:w="100"/>
              <w:bottom w:type="dxa" w:w="80"/>
              <w:right w:type="dxa" w:w="100"/>
            </w:tcMar>
          </w:tcPr>
          <w:p>
            <w:r>
              <w:rPr>
                <w:b w:val="false"/>
                <w:bCs w:val="false"/>
              </w:rPr>
              <w:t xml:space="preserve">leading underscore</w:t>
            </w:r>
          </w:p>
        </w:tc>
        <w:tc>
          <w:tcPr>
            <w:tcW w:type="dxa" w:w="3600"/>
            <w:tcMar>
              <w:top w:type="dxa" w:w="80"/>
              <w:left w:type="dxa" w:w="100"/>
              <w:bottom w:type="dxa" w:w="80"/>
              <w:right w:type="dxa" w:w="100"/>
            </w:tcMar>
          </w:tcPr>
          <w:p>
            <w:r>
              <w:rPr>
                <w:b w:val="false"/>
                <w:bCs w:val="false"/>
              </w:rPr>
              <w:t xml:space="preserve">_normalize_text()</w:t>
            </w:r>
          </w:p>
        </w:tc>
      </w:tr>
    </w:tbl>
    <w:p>
      <w:pPr>
        <w:pStyle w:val="Heading2"/>
        <w:spacing w:after="150" w:before="300"/>
      </w:pPr>
      <w:r>
        <w:t xml:space="preserve">2.3 Module boundaries</w:t>
      </w:r>
    </w:p>
    <w:p>
      <w:pPr>
        <w:pStyle w:val="ListParagraph"/>
        <w:numPr>
          <w:ilvl w:val="0"/>
          <w:numId w:val="1"/>
        </w:numPr>
        <w:spacing w:after="80"/>
      </w:pPr>
      <w:r>
        <w:t xml:space="preserve">Extractors never import from storage/ or agent/ directly; they only return normalized items to the pipeline caller.</w:t>
      </w:r>
    </w:p>
    <w:p>
      <w:pPr>
        <w:pStyle w:val="ListParagraph"/>
        <w:numPr>
          <w:ilvl w:val="0"/>
          <w:numId w:val="1"/>
        </w:numPr>
        <w:spacing w:after="80"/>
      </w:pPr>
      <w:r>
        <w:t xml:space="preserve">All LLM calls anywhere in the codebase go through providers/base.py's ProviderInterface, never directly against an OpenRouter or Ollama client.</w:t>
      </w:r>
    </w:p>
    <w:p>
      <w:pPr>
        <w:pStyle w:val="ListParagraph"/>
        <w:numPr>
          <w:ilvl w:val="0"/>
          <w:numId w:val="1"/>
        </w:numPr>
        <w:spacing w:after="80"/>
      </w:pPr>
      <w:r>
        <w:t xml:space="preserve">Storage modules (sqlite_store.py, chroma_store.py, neo4j_store.py) are the only modules allowed to hold a live database connection or client object.</w:t>
      </w:r>
    </w:p>
    <w:p>
      <w:pPr>
        <w:pStyle w:val="Heading2"/>
        <w:spacing w:after="150" w:before="300"/>
      </w:pPr>
      <w:r>
        <w:t xml:space="preserve">2.4 Error handling</w:t>
      </w:r>
    </w:p>
    <w:p>
      <w:pPr>
        <w:pStyle w:val="ListParagraph"/>
        <w:numPr>
          <w:ilvl w:val="0"/>
          <w:numId w:val="1"/>
        </w:numPr>
        <w:spacing w:after="80"/>
      </w:pPr>
      <w:r>
        <w:t xml:space="preserve">Define custom exception classes per layer (e.g. ExtractionError, ProviderError, StorageError) rather than raising bare Exception.</w:t>
      </w:r>
    </w:p>
    <w:p>
      <w:pPr>
        <w:pStyle w:val="ListParagraph"/>
        <w:numPr>
          <w:ilvl w:val="0"/>
          <w:numId w:val="1"/>
        </w:numPr>
        <w:spacing w:after="80"/>
      </w:pPr>
      <w:r>
        <w:t xml:space="preserve">Each extractor catches and logs its own errors so one source's failure does not stop the daily batch for the remaining five sources; a failed source is recorded in ingestion_runs.error_log rather than raised to the caller.</w:t>
      </w:r>
    </w:p>
    <w:p>
      <w:pPr>
        <w:pStyle w:val="ListParagraph"/>
        <w:numPr>
          <w:ilvl w:val="0"/>
          <w:numId w:val="1"/>
        </w:numPr>
        <w:spacing w:after="80"/>
      </w:pPr>
      <w:r>
        <w:t xml:space="preserve">LLM provider calls (metadata, relationship, synthesis) use retry with exponential backoff for transient errors, and raise ProviderError after retries are exhausted.</w:t>
      </w:r>
    </w:p>
    <w:p>
      <w:pPr>
        <w:pStyle w:val="Heading2"/>
        <w:spacing w:after="150" w:before="300"/>
      </w:pPr>
      <w:r>
        <w:t xml:space="preserve">2.5 Logging</w:t>
      </w:r>
    </w:p>
    <w:p>
      <w:pPr>
        <w:pStyle w:val="ListParagraph"/>
        <w:numPr>
          <w:ilvl w:val="0"/>
          <w:numId w:val="1"/>
        </w:numPr>
        <w:spacing w:after="80"/>
      </w:pPr>
      <w:r>
        <w:t xml:space="preserve">Use Python's standard logging module, never print(), for anything outside of one-off local scripts.</w:t>
      </w:r>
    </w:p>
    <w:p>
      <w:pPr>
        <w:pStyle w:val="ListParagraph"/>
        <w:numPr>
          <w:ilvl w:val="0"/>
          <w:numId w:val="1"/>
        </w:numPr>
        <w:spacing w:after="80"/>
      </w:pPr>
      <w:r>
        <w:t xml:space="preserve">Log level follows LOG_LEVEL from the environment; INFO for normal ingestion/query events, DEBUG for detailed pipeline tracing, ERROR for failures that affect a result.</w:t>
      </w:r>
    </w:p>
    <w:p>
      <w:pPr>
        <w:pStyle w:val="ListParagraph"/>
        <w:numPr>
          <w:ilvl w:val="0"/>
          <w:numId w:val="1"/>
        </w:numPr>
        <w:spacing w:after="80"/>
      </w:pPr>
      <w:r>
        <w:t xml:space="preserve">Every log line involving an item includes its item_id, and every log line involving a query includes its session_id, to make tracing a single run through logs straightforward.</w:t>
      </w:r>
    </w:p>
    <w:p>
      <w:pPr>
        <w:pStyle w:val="Heading2"/>
        <w:spacing w:after="150" w:before="300"/>
      </w:pPr>
      <w:r>
        <w:t xml:space="preserve">2.6 Testing</w:t>
      </w:r>
    </w:p>
    <w:p>
      <w:pPr>
        <w:pStyle w:val="ListParagraph"/>
        <w:numPr>
          <w:ilvl w:val="0"/>
          <w:numId w:val="1"/>
        </w:numPr>
        <w:spacing w:after="80"/>
      </w:pPr>
      <w:r>
        <w:t xml:space="preserve">Use pytest; one test file per source module, mirrored under tests/ as defined in the File and Folder Structure Document.</w:t>
      </w:r>
    </w:p>
    <w:p>
      <w:pPr>
        <w:pStyle w:val="ListParagraph"/>
        <w:numPr>
          <w:ilvl w:val="0"/>
          <w:numId w:val="1"/>
        </w:numPr>
        <w:spacing w:after="80"/>
      </w:pPr>
      <w:r>
        <w:t xml:space="preserve">Extractors are tested against recorded fixture responses (saved API JSON), not live API calls, to keep tests deterministic and free of external dependencies.</w:t>
      </w:r>
    </w:p>
    <w:p>
      <w:pPr>
        <w:pStyle w:val="ListParagraph"/>
        <w:numPr>
          <w:ilvl w:val="0"/>
          <w:numId w:val="1"/>
        </w:numPr>
        <w:spacing w:after="80"/>
      </w:pPr>
      <w:r>
        <w:t xml:space="preserve">LangGraph agent nodes are tested individually with mocked storage and provider responses, in addition to the end-to-end evaluation suite defined in the Design Document's evaluation section.</w:t>
      </w:r>
    </w:p>
    <w:p>
      <w:pPr>
        <w:pStyle w:val="Heading1"/>
        <w:spacing w:after="200" w:before="400"/>
      </w:pPr>
      <w:r>
        <w:t xml:space="preserve">3. React / JavaScript Conventions (Frontend)</w:t>
      </w:r>
    </w:p>
    <w:p>
      <w:pPr>
        <w:pStyle w:val="ListParagraph"/>
        <w:numPr>
          <w:ilvl w:val="0"/>
          <w:numId w:val="1"/>
        </w:numPr>
        <w:spacing w:after="80"/>
      </w:pPr>
      <w:r>
        <w:t xml:space="preserve">Functional components with hooks only; no class components.</w:t>
      </w:r>
    </w:p>
    <w:p>
      <w:pPr>
        <w:pStyle w:val="ListParagraph"/>
        <w:numPr>
          <w:ilvl w:val="0"/>
          <w:numId w:val="1"/>
        </w:numPr>
        <w:spacing w:after="80"/>
      </w:pPr>
      <w:r>
        <w:t xml:space="preserve">Component file names in PascalCase matching the exported component name (e.g. ChatWindow.jsx).</w:t>
      </w:r>
    </w:p>
    <w:p>
      <w:pPr>
        <w:pStyle w:val="ListParagraph"/>
        <w:numPr>
          <w:ilvl w:val="0"/>
          <w:numId w:val="1"/>
        </w:numPr>
        <w:spacing w:after="80"/>
      </w:pPr>
      <w:r>
        <w:t xml:space="preserve">Variables and functions in camelCase; component props destructured in the function signature.</w:t>
      </w:r>
    </w:p>
    <w:p>
      <w:pPr>
        <w:pStyle w:val="ListParagraph"/>
        <w:numPr>
          <w:ilvl w:val="0"/>
          <w:numId w:val="1"/>
        </w:numPr>
        <w:spacing w:after="80"/>
      </w:pPr>
      <w:r>
        <w:t xml:space="preserve">Formatting via Prettier; linting via ESLint with the standard React hooks rule set.</w:t>
      </w:r>
    </w:p>
    <w:p>
      <w:pPr>
        <w:pStyle w:val="ListParagraph"/>
        <w:numPr>
          <w:ilvl w:val="0"/>
          <w:numId w:val="1"/>
        </w:numPr>
        <w:spacing w:after="80"/>
      </w:pPr>
      <w:r>
        <w:t xml:space="preserve">API calls are centralized in frontend/src/api/client.js; components never call fetch directly.</w:t>
      </w:r>
    </w:p>
    <w:p>
      <w:pPr>
        <w:pStyle w:val="ListParagraph"/>
        <w:numPr>
          <w:ilvl w:val="0"/>
          <w:numId w:val="1"/>
        </w:numPr>
        <w:spacing w:after="80"/>
      </w:pPr>
      <w:r>
        <w:t xml:space="preserve">Component styling uses plain CSS modules or a single shared stylesheet; no inline style objects for anything beyond one-off dynamic values.</w:t>
      </w:r>
    </w:p>
    <w:p>
      <w:pPr>
        <w:pStyle w:val="Heading1"/>
        <w:spacing w:after="200" w:before="400"/>
      </w:pPr>
      <w:r>
        <w:t xml:space="preserve">4. Commit and Version Control Conventions</w:t>
      </w:r>
    </w:p>
    <w:p>
      <w:pPr>
        <w:pStyle w:val="ListParagraph"/>
        <w:numPr>
          <w:ilvl w:val="0"/>
          <w:numId w:val="1"/>
        </w:numPr>
        <w:spacing w:after="80"/>
      </w:pPr>
      <w:r>
        <w:t xml:space="preserve">Commit messages follow Conventional Commits: feat:, fix:, refactor:, docs:, test:, chore:, each with a short imperative summary line.</w:t>
      </w:r>
    </w:p>
    <w:p>
      <w:pPr>
        <w:pStyle w:val="ListParagraph"/>
        <w:numPr>
          <w:ilvl w:val="0"/>
          <w:numId w:val="1"/>
        </w:numPr>
        <w:spacing w:after="80"/>
      </w:pPr>
      <w:r>
        <w:t xml:space="preserve">One logical change per commit; avoid bundling unrelated modules in a single commit.</w:t>
      </w:r>
    </w:p>
    <w:p>
      <w:pPr>
        <w:pStyle w:val="ListParagraph"/>
        <w:numPr>
          <w:ilvl w:val="0"/>
          <w:numId w:val="1"/>
        </w:numPr>
        <w:spacing w:after="80"/>
      </w:pPr>
      <w:r>
        <w:t xml:space="preserve">Feature branches are named type/short-description, e.g. feat/gmail-extractor or fix/chunking-boundary.</w:t>
      </w:r>
    </w:p>
    <w:p>
      <w:pPr>
        <w:pStyle w:val="Heading1"/>
        <w:spacing w:after="200" w:before="400"/>
      </w:pPr>
      <w:r>
        <w:t xml:space="preserve">5. Documentation Conventions</w:t>
      </w:r>
    </w:p>
    <w:p>
      <w:pPr>
        <w:pStyle w:val="ListParagraph"/>
        <w:numPr>
          <w:ilvl w:val="0"/>
          <w:numId w:val="1"/>
        </w:numPr>
        <w:spacing w:after="80"/>
      </w:pPr>
      <w:r>
        <w:t xml:space="preserve">Every new module gets a module-level docstring describing its responsibility and its position in the architecture (which layer it belongs to).</w:t>
      </w:r>
    </w:p>
    <w:p>
      <w:pPr>
        <w:pStyle w:val="ListParagraph"/>
        <w:numPr>
          <w:ilvl w:val="0"/>
          <w:numId w:val="1"/>
        </w:numPr>
        <w:spacing w:after="80"/>
      </w:pPr>
      <w:r>
        <w:t xml:space="preserve">Any change to a component's responsibility or dependency is reflected back into the Component Map Document and the System Architecture Document, so the documentation set stays accurate as the code evolves.</w:t>
      </w:r>
    </w:p>
    <w:p>
      <w:pPr>
        <w:spacing w:after="200"/>
      </w:pPr>
    </w:p>
    <w:p>
      <w:pPr>
        <w:spacing w:before="300"/>
      </w:pPr>
      <w:r>
        <w:rPr>
          <w:i/>
          <w:iCs/>
          <w:color w:val="777777"/>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2026-08-14T17:25:06.221Z</dcterms:created>
  <dcterms:modified xsi:type="dcterms:W3CDTF">2026-08-14T17:25:06.221Z</dcterms:modified>
</cp:coreProperties>
</file>

<file path=docProps/custom.xml><?xml version="1.0" encoding="utf-8"?>
<Properties xmlns="http://schemas.openxmlformats.org/officeDocument/2006/custom-properties" xmlns:vt="http://schemas.openxmlformats.org/officeDocument/2006/docPropsVTypes"/>
</file>