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b/>
          <w:bCs/>
          <w:sz w:val="56"/>
          <w:szCs w:val="56"/>
        </w:rPr>
        <w:t xml:space="preserve">Personal Knowledge Graph Agent</w:t>
      </w:r>
    </w:p>
    <w:p>
      <w:pPr>
        <w:spacing w:after="100"/>
      </w:pPr>
      <w:r>
        <w:rPr>
          <w:color w:val="555555"/>
          <w:sz w:val="32"/>
          <w:szCs w:val="32"/>
        </w:rPr>
        <w:t xml:space="preserve">Component Map Document</w:t>
      </w:r>
    </w:p>
    <w:p>
      <w:pPr>
        <w:spacing w:after="60"/>
      </w:pPr>
      <w:r>
        <w:rPr>
          <w:i/>
          <w:iCs/>
          <w:sz w:val="24"/>
          <w:szCs w:val="24"/>
        </w:rPr>
        <w:t xml:space="preserve">Prepared for: Shivam Shinde</w:t>
      </w:r>
    </w:p>
    <w:p>
      <w:pPr>
        <w:spacing w:after="60"/>
      </w:pPr>
      <w:r>
        <w:rPr>
          <w:i/>
          <w:iCs/>
          <w:sz w:val="24"/>
          <w:szCs w:val="24"/>
        </w:rPr>
        <w:t xml:space="preserve">Companion to: System Architecture Document</w:t>
      </w:r>
    </w:p>
    <w:p>
      <w:pPr>
        <w:spacing w:after="700"/>
      </w:pPr>
    </w:p>
    <w:p>
      <w:pPr>
        <w:pStyle w:val="Heading1"/>
        <w:spacing w:after="200" w:before="400"/>
      </w:pPr>
      <w:r>
        <w:t xml:space="preserve">1. Purpose</w:t>
      </w:r>
    </w:p>
    <w:p>
      <w:pPr>
        <w:spacing w:after="160"/>
      </w:pPr>
      <w:r>
        <w:t xml:space="preserve">This document maps every component in the system, its responsibility, and its direct dependencies on other components. It complements the layered view in the System Architecture Document with a component-to-component dependency view.</w:t>
      </w:r>
    </w:p>
    <w:p>
      <w:pPr>
        <w:spacing w:after="80" w:before="120"/>
        <w:jc w:val="center"/>
      </w:pPr>
      <w:r>
        <w:drawing>
          <wp:inline distT="0" distB="0" distL="0" distR="0">
            <wp:extent cx="6191250" cy="3114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18"/>
          <w:szCs w:val="18"/>
        </w:rPr>
        <w:t xml:space="preserve">Figure 1: Full component dependency map</w:t>
      </w:r>
    </w:p>
    <w:p>
      <w:pPr>
        <w:pStyle w:val="Heading1"/>
        <w:spacing w:after="200" w:before="400"/>
      </w:pPr>
      <w:r>
        <w:t xml:space="preserve">2. Component Groups</w:t>
      </w:r>
    </w:p>
    <w:p>
      <w:pPr>
        <w:pStyle w:val="Heading2"/>
        <w:spacing w:after="150" w:before="300"/>
      </w:pPr>
      <w:r>
        <w:t xml:space="preserve">2.1 Scheduler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600"/>
        <w:gridCol w:w="2200"/>
      </w:tblGrid>
      <w:tr>
        <w:trPr>
          <w:tblHeader/>
        </w:trPr>
        <w:tc>
          <w:tcPr>
            <w:tcW w:type="dxa" w:w="26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Component</w:t>
            </w:r>
          </w:p>
        </w:tc>
        <w:tc>
          <w:tcPr>
            <w:tcW w:type="dxa" w:w="46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Responsibility</w:t>
            </w:r>
          </w:p>
        </w:tc>
        <w:tc>
          <w:tcPr>
            <w:tcW w:type="dxa" w:w="22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Calls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DailyBatchRunner</w:t>
            </w:r>
          </w:p>
        </w:tc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Triggers all six extractors once daily and coordinates the ingestion pipeline run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All six Extractors</w:t>
            </w:r>
          </w:p>
        </w:tc>
      </w:tr>
    </w:tbl>
    <w:p>
      <w:pPr>
        <w:pStyle w:val="Heading2"/>
        <w:spacing w:after="150" w:before="300"/>
      </w:pPr>
      <w:r>
        <w:t xml:space="preserve">2.2 Extractors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600"/>
        <w:gridCol w:w="2200"/>
      </w:tblGrid>
      <w:tr>
        <w:trPr>
          <w:tblHeader/>
        </w:trPr>
        <w:tc>
          <w:tcPr>
            <w:tcW w:type="dxa" w:w="26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Component</w:t>
            </w:r>
          </w:p>
        </w:tc>
        <w:tc>
          <w:tcPr>
            <w:tcW w:type="dxa" w:w="46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Responsibility</w:t>
            </w:r>
          </w:p>
        </w:tc>
        <w:tc>
          <w:tcPr>
            <w:tcW w:type="dxa" w:w="22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Calls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LocalFileExtractor</w:t>
            </w:r>
          </w:p>
        </w:tc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Watches folders, reads new/modified files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NoiseFilter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NotionExtractor</w:t>
            </w:r>
          </w:p>
        </w:tc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Polls Notion API for edited pages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NoiseFilter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GmailExtractor</w:t>
            </w:r>
          </w:p>
        </w:tc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Pulls new emails since last run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NoiseFilter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GitHubExtractor</w:t>
            </w:r>
          </w:p>
        </w:tc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Pulls new commits, PRs, issues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NoiseFilter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CalendarExtractor</w:t>
            </w:r>
          </w:p>
        </w:tc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Pulls new/updated events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NoiseFilter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BrowserHistoryExtractor</w:t>
            </w:r>
          </w:p>
        </w:tc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Reads local browser history file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NoiseFilter</w:t>
            </w:r>
          </w:p>
        </w:tc>
      </w:tr>
    </w:tbl>
    <w:p>
      <w:pPr>
        <w:pStyle w:val="Heading2"/>
        <w:spacing w:after="150" w:before="300"/>
      </w:pPr>
      <w:r>
        <w:t xml:space="preserve">2.3 Pipeline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600"/>
        <w:gridCol w:w="2200"/>
      </w:tblGrid>
      <w:tr>
        <w:trPr>
          <w:tblHeader/>
        </w:trPr>
        <w:tc>
          <w:tcPr>
            <w:tcW w:type="dxa" w:w="26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Component</w:t>
            </w:r>
          </w:p>
        </w:tc>
        <w:tc>
          <w:tcPr>
            <w:tcW w:type="dxa" w:w="46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Responsibility</w:t>
            </w:r>
          </w:p>
        </w:tc>
        <w:tc>
          <w:tcPr>
            <w:tcW w:type="dxa" w:w="22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Calls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NoiseFilter</w:t>
            </w:r>
          </w:p>
        </w:tc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Removes low-value items per source-specific rules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ChunkingEngine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ChunkingEngine</w:t>
            </w:r>
          </w:p>
        </w:tc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Splits long text into chunks at natural boundaries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MetadataGenerator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MetadataGenerator</w:t>
            </w:r>
          </w:p>
        </w:tc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Attaches free metadata; calls LLM for project/topic fields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ProviderInterface, SQLiteStore, EmbeddingGenerator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EmbeddingGenerator</w:t>
            </w:r>
          </w:p>
        </w:tc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Converts chunks into vectors using a local embedding model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ChromaStore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RelationshipDetector</w:t>
            </w:r>
          </w:p>
        </w:tc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Finds candidate related items via Chroma, confirms via LLM, writes edges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ChromaStore, ProviderInterface, Neo4jStore</w:t>
            </w:r>
          </w:p>
        </w:tc>
      </w:tr>
    </w:tbl>
    <w:p>
      <w:pPr>
        <w:pStyle w:val="Heading2"/>
        <w:spacing w:after="150" w:before="300"/>
      </w:pPr>
      <w:r>
        <w:t xml:space="preserve">2.4 Storage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600"/>
        <w:gridCol w:w="2200"/>
      </w:tblGrid>
      <w:tr>
        <w:trPr>
          <w:tblHeader/>
        </w:trPr>
        <w:tc>
          <w:tcPr>
            <w:tcW w:type="dxa" w:w="26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Component</w:t>
            </w:r>
          </w:p>
        </w:tc>
        <w:tc>
          <w:tcPr>
            <w:tcW w:type="dxa" w:w="46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Responsibility</w:t>
            </w:r>
          </w:p>
        </w:tc>
        <w:tc>
          <w:tcPr>
            <w:tcW w:type="dxa" w:w="22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Used By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SQLiteStore</w:t>
            </w:r>
          </w:p>
        </w:tc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Persists raw text, item metadata, and ingestion run logs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MetadataGenerator, KeywordSearchNode, AnswerSynthesizer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ChromaStore</w:t>
            </w:r>
          </w:p>
        </w:tc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Persists chunk embeddings with attached metadata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EmbeddingGenerator, RelationshipDetector, VectorSearchNode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Neo4jStore</w:t>
            </w:r>
          </w:p>
        </w:tc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Persists item nodes and relationship edges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RelationshipDetector, GraphTraversalNode</w:t>
            </w:r>
          </w:p>
        </w:tc>
      </w:tr>
    </w:tbl>
    <w:p>
      <w:pPr>
        <w:pStyle w:val="Heading2"/>
        <w:spacing w:after="150" w:before="300"/>
      </w:pPr>
      <w:r>
        <w:t xml:space="preserve">2.5 LLM Provider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600"/>
        <w:gridCol w:w="2200"/>
      </w:tblGrid>
      <w:tr>
        <w:trPr>
          <w:tblHeader/>
        </w:trPr>
        <w:tc>
          <w:tcPr>
            <w:tcW w:type="dxa" w:w="26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Component</w:t>
            </w:r>
          </w:p>
        </w:tc>
        <w:tc>
          <w:tcPr>
            <w:tcW w:type="dxa" w:w="46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Responsibility</w:t>
            </w:r>
          </w:p>
        </w:tc>
        <w:tc>
          <w:tcPr>
            <w:tcW w:type="dxa" w:w="22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Implements / Implemented By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ProviderInterface</w:t>
            </w:r>
          </w:p>
        </w:tc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Shared contract: generate_metadata, generate_relationship, generate_answer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Implemented by LocalProvider and OpenRouterProvider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LocalProvider</w:t>
            </w:r>
          </w:p>
        </w:tc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Routes calls to a locally running Ollama model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ProviderInterface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OpenRouterProvider</w:t>
            </w:r>
          </w:p>
        </w:tc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Routes calls to a user-selected model via the OpenRouter API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ProviderInterface</w:t>
            </w:r>
          </w:p>
        </w:tc>
      </w:tr>
    </w:tbl>
    <w:p>
      <w:pPr>
        <w:pStyle w:val="Heading2"/>
        <w:spacing w:after="150" w:before="300"/>
      </w:pPr>
      <w:r>
        <w:t xml:space="preserve">2.6 LangGraph Agent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600"/>
        <w:gridCol w:w="2200"/>
      </w:tblGrid>
      <w:tr>
        <w:trPr>
          <w:tblHeader/>
        </w:trPr>
        <w:tc>
          <w:tcPr>
            <w:tcW w:type="dxa" w:w="26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Component</w:t>
            </w:r>
          </w:p>
        </w:tc>
        <w:tc>
          <w:tcPr>
            <w:tcW w:type="dxa" w:w="46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Responsibility</w:t>
            </w:r>
          </w:p>
        </w:tc>
        <w:tc>
          <w:tcPr>
            <w:tcW w:type="dxa" w:w="22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Calls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QueryRouter</w:t>
            </w:r>
          </w:p>
        </w:tc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Decides which retrieval nodes to invoke for a given question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VectorSearchNode, KeywordSearchNode, GraphTraversalNode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VectorSearchNode</w:t>
            </w:r>
          </w:p>
        </w:tc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Runs semantic search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ChromaStore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KeywordSearchNode</w:t>
            </w:r>
          </w:p>
        </w:tc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Runs keyword search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SQLiteStore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GraphTraversalNode</w:t>
            </w:r>
          </w:p>
        </w:tc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Retrieves connected nodes/edges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Neo4jStore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ResultMerger</w:t>
            </w:r>
          </w:p>
        </w:tc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Combines and ranks results via Reciprocal Rank Fusion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(pure function, no external calls)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AnswerSynthesizer</w:t>
            </w:r>
          </w:p>
        </w:tc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Generates the final cited answer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ProviderInterface, SQLiteStore</w:t>
            </w:r>
          </w:p>
        </w:tc>
      </w:tr>
    </w:tbl>
    <w:p>
      <w:pPr>
        <w:pStyle w:val="Heading2"/>
        <w:spacing w:after="150" w:before="300"/>
      </w:pPr>
      <w:r>
        <w:t xml:space="preserve">2.7 Interface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600"/>
        <w:gridCol w:w="2200"/>
      </w:tblGrid>
      <w:tr>
        <w:trPr>
          <w:tblHeader/>
        </w:trPr>
        <w:tc>
          <w:tcPr>
            <w:tcW w:type="dxa" w:w="26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Component</w:t>
            </w:r>
          </w:p>
        </w:tc>
        <w:tc>
          <w:tcPr>
            <w:tcW w:type="dxa" w:w="46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Responsibility</w:t>
            </w:r>
          </w:p>
        </w:tc>
        <w:tc>
          <w:tcPr>
            <w:tcW w:type="dxa" w:w="2200"/>
            <w:shd w:fill="D9E2F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Calls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FastAPI App</w:t>
            </w:r>
          </w:p>
        </w:tc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Exposes the agent over HTTP, serves the frontend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QueryRouter (via agent/graph.py entrypoint)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React Frontend</w:t>
            </w:r>
          </w:p>
        </w:tc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Chat UI, session list, settings screen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FastAPI App (HTTP only)</w:t>
            </w:r>
          </w:p>
        </w:tc>
      </w:tr>
    </w:tbl>
    <w:p>
      <w:pPr>
        <w:pStyle w:val="Heading1"/>
        <w:spacing w:after="200" w:before="400"/>
      </w:pPr>
      <w:r>
        <w:t xml:space="preserve">3. Dependency Rules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Extractors depend only on the Pipeline layer's shared interfaces, never on Storage or the Agent directly.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Storage components have no outgoing dependencies on other layers; they are the system's leaf/foundation layer.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LLM Provider layer has no outgoing dependencies other than the external model runtime (Ollama) or API (OpenRouter); all other components depend on it through ProviderInterface only, never on a concrete provider directly.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Agent layer depends on Storage and the LLM Provider, but never on Extractors or the Pipeline layer.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Interface layer depends only on the Agent layer's public entrypoint, never reaching into Storage or Providers directly.</w:t>
      </w:r>
    </w:p>
    <w:p>
      <w:pPr>
        <w:spacing w:after="200"/>
      </w:pPr>
    </w:p>
    <w:p>
      <w:pPr>
        <w:spacing w:before="300"/>
      </w:pPr>
      <w:r>
        <w:rPr>
          <w:i/>
          <w:iCs/>
          <w:color w:val="777777"/>
        </w:rPr>
        <w:t xml:space="preserve">End of document.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7db0dbea5b6fa940c6a147c4aa513e37e29e60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2026-08-14T16:23:41.029Z</dcterms:created>
  <dcterms:modified xsi:type="dcterms:W3CDTF">2026-08-14T16:23:41.029Z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