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56"/>
          <w:szCs w:val="56"/>
        </w:rPr>
        <w:t xml:space="preserve">Personal Knowledge Graph Agent</w:t>
      </w:r>
    </w:p>
    <w:p>
      <w:pPr>
        <w:spacing w:after="100"/>
      </w:pPr>
      <w:r>
        <w:rPr>
          <w:color w:val="555555"/>
          <w:sz w:val="32"/>
          <w:szCs w:val="32"/>
        </w:rPr>
        <w:t xml:space="preserve">Environment and Configuration Reference</w:t>
      </w:r>
    </w:p>
    <w:p>
      <w:pPr>
        <w:spacing w:after="60"/>
      </w:pPr>
      <w:r>
        <w:rPr>
          <w:i/>
          <w:iCs/>
          <w:sz w:val="24"/>
          <w:szCs w:val="24"/>
        </w:rPr>
        <w:t xml:space="preserve">Prepared for: Shivam Shinde</w:t>
      </w:r>
    </w:p>
    <w:p>
      <w:pPr>
        <w:spacing w:after="60"/>
      </w:pPr>
      <w:r>
        <w:rPr>
          <w:i/>
          <w:iCs/>
          <w:sz w:val="24"/>
          <w:szCs w:val="24"/>
        </w:rPr>
        <w:t xml:space="preserve">Companion to: System Architecture Document</w:t>
      </w:r>
    </w:p>
    <w:p>
      <w:pPr>
        <w:spacing w:after="700"/>
      </w:pPr>
    </w:p>
    <w:p>
      <w:pPr>
        <w:pStyle w:val="Heading1"/>
        <w:spacing w:after="200" w:before="400"/>
      </w:pPr>
      <w:r>
        <w:t xml:space="preserve">1. Purpose</w:t>
      </w:r>
    </w:p>
    <w:p>
      <w:pPr>
        <w:spacing w:after="160"/>
      </w:pPr>
      <w:r>
        <w:t xml:space="preserve">This document lists every environment variable and configuration file setting the system reads, what it controls, and where credentials for each connected source come from. It is the reference used when setting up the project on a new machine.</w:t>
      </w:r>
    </w:p>
    <w:p>
      <w:pPr>
        <w:pStyle w:val="Heading1"/>
        <w:spacing w:after="200" w:before="400"/>
      </w:pPr>
      <w:r>
        <w:t xml:space="preserve">2. Configuration Files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000"/>
      </w:tblGrid>
      <w:tr>
        <w:trPr>
          <w:tblHeader/>
        </w:trPr>
        <w:tc>
          <w:tcPr>
            <w:tcW w:type="dxa" w:w="2600"/>
            <w:shd w:fill="D9E2F3" w:color="auto" w:val="clear"/>
            <w:tcMar>
              <w:top w:type="dxa" w:w="80"/>
              <w:left w:type="dxa" w:w="100"/>
              <w:bottom w:type="dxa" w:w="80"/>
              <w:right w:type="dxa" w:w="100"/>
            </w:tcMar>
          </w:tcPr>
          <w:p>
            <w:r>
              <w:rPr>
                <w:b/>
                <w:bCs/>
              </w:rPr>
              <w:t xml:space="preserve">File</w:t>
            </w:r>
          </w:p>
        </w:tc>
        <w:tc>
          <w:tcPr>
            <w:tcW w:type="dxa" w:w="4800"/>
            <w:shd w:fill="D9E2F3" w:color="auto" w:val="clear"/>
            <w:tcMar>
              <w:top w:type="dxa" w:w="80"/>
              <w:left w:type="dxa" w:w="100"/>
              <w:bottom w:type="dxa" w:w="80"/>
              <w:right w:type="dxa" w:w="100"/>
            </w:tcMar>
          </w:tcPr>
          <w:p>
            <w:r>
              <w:rPr>
                <w:b/>
                <w:bCs/>
              </w:rPr>
              <w:t xml:space="preserve">Contains</w:t>
            </w:r>
          </w:p>
        </w:tc>
        <w:tc>
          <w:tcPr>
            <w:tcW w:type="dxa" w:w="2000"/>
            <w:shd w:fill="D9E2F3" w:color="auto" w:val="clear"/>
            <w:tcMar>
              <w:top w:type="dxa" w:w="80"/>
              <w:left w:type="dxa" w:w="100"/>
              <w:bottom w:type="dxa" w:w="80"/>
              <w:right w:type="dxa" w:w="100"/>
            </w:tcMar>
          </w:tcPr>
          <w:p>
            <w:r>
              <w:rPr>
                <w:b/>
                <w:bCs/>
              </w:rPr>
              <w:t xml:space="preserve">Committed to Git?</w:t>
            </w:r>
          </w:p>
        </w:tc>
      </w:tr>
      <w:tr>
        <w:tc>
          <w:tcPr>
            <w:tcW w:type="dxa" w:w="2600"/>
            <w:tcMar>
              <w:top w:type="dxa" w:w="80"/>
              <w:left w:type="dxa" w:w="100"/>
              <w:bottom w:type="dxa" w:w="80"/>
              <w:right w:type="dxa" w:w="100"/>
            </w:tcMar>
          </w:tcPr>
          <w:p>
            <w:r>
              <w:rPr>
                <w:b w:val="false"/>
                <w:bCs w:val="false"/>
              </w:rPr>
              <w:t xml:space="preserve">config/config.yaml</w:t>
            </w:r>
          </w:p>
        </w:tc>
        <w:tc>
          <w:tcPr>
            <w:tcW w:type="dxa" w:w="4800"/>
            <w:tcMar>
              <w:top w:type="dxa" w:w="80"/>
              <w:left w:type="dxa" w:w="100"/>
              <w:bottom w:type="dxa" w:w="80"/>
              <w:right w:type="dxa" w:w="100"/>
            </w:tcMar>
          </w:tcPr>
          <w:p>
            <w:r>
              <w:rPr>
                <w:b w:val="false"/>
                <w:bCs w:val="false"/>
              </w:rPr>
              <w:t xml:space="preserve">Non-secret settings: provider mode, model names, folder paths, filter thresholds</w:t>
            </w:r>
          </w:p>
        </w:tc>
        <w:tc>
          <w:tcPr>
            <w:tcW w:type="dxa" w:w="2000"/>
            <w:tcMar>
              <w:top w:type="dxa" w:w="80"/>
              <w:left w:type="dxa" w:w="100"/>
              <w:bottom w:type="dxa" w:w="80"/>
              <w:right w:type="dxa" w:w="100"/>
            </w:tcMar>
          </w:tcPr>
          <w:p>
            <w:r>
              <w:rPr>
                <w:b w:val="false"/>
                <w:bCs w:val="false"/>
              </w:rPr>
              <w:t xml:space="preserve">Yes</w:t>
            </w:r>
          </w:p>
        </w:tc>
      </w:tr>
      <w:tr>
        <w:tc>
          <w:tcPr>
            <w:tcW w:type="dxa" w:w="2600"/>
            <w:tcMar>
              <w:top w:type="dxa" w:w="80"/>
              <w:left w:type="dxa" w:w="100"/>
              <w:bottom w:type="dxa" w:w="80"/>
              <w:right w:type="dxa" w:w="100"/>
            </w:tcMar>
          </w:tcPr>
          <w:p>
            <w:r>
              <w:rPr>
                <w:b w:val="false"/>
                <w:bCs w:val="false"/>
              </w:rPr>
              <w:t xml:space="preserve">config/.env</w:t>
            </w:r>
          </w:p>
        </w:tc>
        <w:tc>
          <w:tcPr>
            <w:tcW w:type="dxa" w:w="4800"/>
            <w:tcMar>
              <w:top w:type="dxa" w:w="80"/>
              <w:left w:type="dxa" w:w="100"/>
              <w:bottom w:type="dxa" w:w="80"/>
              <w:right w:type="dxa" w:w="100"/>
            </w:tcMar>
          </w:tcPr>
          <w:p>
            <w:r>
              <w:rPr>
                <w:b w:val="false"/>
                <w:bCs w:val="false"/>
              </w:rPr>
              <w:t xml:space="preserve">Secrets: API keys, tokens, database credentials</w:t>
            </w:r>
          </w:p>
        </w:tc>
        <w:tc>
          <w:tcPr>
            <w:tcW w:type="dxa" w:w="2000"/>
            <w:tcMar>
              <w:top w:type="dxa" w:w="80"/>
              <w:left w:type="dxa" w:w="100"/>
              <w:bottom w:type="dxa" w:w="80"/>
              <w:right w:type="dxa" w:w="100"/>
            </w:tcMar>
          </w:tcPr>
          <w:p>
            <w:r>
              <w:rPr>
                <w:b w:val="false"/>
                <w:bCs w:val="false"/>
              </w:rPr>
              <w:t xml:space="preserve">No — gitignored</w:t>
            </w:r>
          </w:p>
        </w:tc>
      </w:tr>
      <w:tr>
        <w:tc>
          <w:tcPr>
            <w:tcW w:type="dxa" w:w="2600"/>
            <w:tcMar>
              <w:top w:type="dxa" w:w="80"/>
              <w:left w:type="dxa" w:w="100"/>
              <w:bottom w:type="dxa" w:w="80"/>
              <w:right w:type="dxa" w:w="100"/>
            </w:tcMar>
          </w:tcPr>
          <w:p>
            <w:r>
              <w:rPr>
                <w:b w:val="false"/>
                <w:bCs w:val="false"/>
              </w:rPr>
              <w:t xml:space="preserve">config/.env.example</w:t>
            </w:r>
          </w:p>
        </w:tc>
        <w:tc>
          <w:tcPr>
            <w:tcW w:type="dxa" w:w="4800"/>
            <w:tcMar>
              <w:top w:type="dxa" w:w="80"/>
              <w:left w:type="dxa" w:w="100"/>
              <w:bottom w:type="dxa" w:w="80"/>
              <w:right w:type="dxa" w:w="100"/>
            </w:tcMar>
          </w:tcPr>
          <w:p>
            <w:r>
              <w:rPr>
                <w:b w:val="false"/>
                <w:bCs w:val="false"/>
              </w:rPr>
              <w:t xml:space="preserve">Template listing every required variable with placeholder values</w:t>
            </w:r>
          </w:p>
        </w:tc>
        <w:tc>
          <w:tcPr>
            <w:tcW w:type="dxa" w:w="2000"/>
            <w:tcMar>
              <w:top w:type="dxa" w:w="80"/>
              <w:left w:type="dxa" w:w="100"/>
              <w:bottom w:type="dxa" w:w="80"/>
              <w:right w:type="dxa" w:w="100"/>
            </w:tcMar>
          </w:tcPr>
          <w:p>
            <w:r>
              <w:rPr>
                <w:b w:val="false"/>
                <w:bCs w:val="false"/>
              </w:rPr>
              <w:t xml:space="preserve">Yes</w:t>
            </w:r>
          </w:p>
        </w:tc>
      </w:tr>
    </w:tbl>
    <w:p>
      <w:pPr>
        <w:pStyle w:val="Heading1"/>
        <w:spacing w:after="200" w:before="400"/>
      </w:pPr>
      <w:r>
        <w:t xml:space="preserve">3. Environment Variables (.env)</w:t>
      </w:r>
    </w:p>
    <w:p>
      <w:pPr>
        <w:pStyle w:val="Heading2"/>
        <w:spacing w:after="150" w:before="300"/>
      </w:pPr>
      <w:r>
        <w:t xml:space="preserve">3.1 Source API credentials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tblHeader/>
        </w:trPr>
        <w:tc>
          <w:tcPr>
            <w:tcW w:type="dxa" w:w="3400"/>
            <w:shd w:fill="D9E2F3" w:color="auto" w:val="clear"/>
            <w:tcMar>
              <w:top w:type="dxa" w:w="80"/>
              <w:left w:type="dxa" w:w="100"/>
              <w:bottom w:type="dxa" w:w="80"/>
              <w:right w:type="dxa" w:w="100"/>
            </w:tcMar>
          </w:tcPr>
          <w:p>
            <w:r>
              <w:rPr>
                <w:b/>
                <w:bCs/>
              </w:rPr>
              <w:t xml:space="preserve">Variable</w:t>
            </w:r>
          </w:p>
        </w:tc>
        <w:tc>
          <w:tcPr>
            <w:tcW w:type="dxa" w:w="5400"/>
            <w:shd w:fill="D9E2F3" w:color="auto" w:val="clear"/>
            <w:tcMar>
              <w:top w:type="dxa" w:w="80"/>
              <w:left w:type="dxa" w:w="100"/>
              <w:bottom w:type="dxa" w:w="80"/>
              <w:right w:type="dxa" w:w="100"/>
            </w:tcMar>
          </w:tcPr>
          <w:p>
            <w:r>
              <w:rPr>
                <w:b/>
                <w:bCs/>
              </w:rPr>
              <w:t xml:space="preserve">Description</w:t>
            </w:r>
          </w:p>
        </w:tc>
      </w:tr>
      <w:tr>
        <w:tc>
          <w:tcPr>
            <w:tcW w:type="dxa" w:w="3400"/>
            <w:tcMar>
              <w:top w:type="dxa" w:w="80"/>
              <w:left w:type="dxa" w:w="100"/>
              <w:bottom w:type="dxa" w:w="80"/>
              <w:right w:type="dxa" w:w="100"/>
            </w:tcMar>
          </w:tcPr>
          <w:p>
            <w:r>
              <w:rPr>
                <w:b w:val="false"/>
                <w:bCs w:val="false"/>
              </w:rPr>
              <w:t xml:space="preserve">NOTION_API_KEY</w:t>
            </w:r>
          </w:p>
        </w:tc>
        <w:tc>
          <w:tcPr>
            <w:tcW w:type="dxa" w:w="5400"/>
            <w:tcMar>
              <w:top w:type="dxa" w:w="80"/>
              <w:left w:type="dxa" w:w="100"/>
              <w:bottom w:type="dxa" w:w="80"/>
              <w:right w:type="dxa" w:w="100"/>
            </w:tcMar>
          </w:tcPr>
          <w:p>
            <w:r>
              <w:rPr>
                <w:b w:val="false"/>
                <w:bCs w:val="false"/>
              </w:rPr>
              <w:t xml:space="preserve">Integration token for the Notion API</w:t>
            </w:r>
          </w:p>
        </w:tc>
      </w:tr>
      <w:tr>
        <w:tc>
          <w:tcPr>
            <w:tcW w:type="dxa" w:w="3400"/>
            <w:tcMar>
              <w:top w:type="dxa" w:w="80"/>
              <w:left w:type="dxa" w:w="100"/>
              <w:bottom w:type="dxa" w:w="80"/>
              <w:right w:type="dxa" w:w="100"/>
            </w:tcMar>
          </w:tcPr>
          <w:p>
            <w:r>
              <w:rPr>
                <w:b w:val="false"/>
                <w:bCs w:val="false"/>
              </w:rPr>
              <w:t xml:space="preserve">GMAIL_CREDENTIALS_PATH</w:t>
            </w:r>
          </w:p>
        </w:tc>
        <w:tc>
          <w:tcPr>
            <w:tcW w:type="dxa" w:w="5400"/>
            <w:tcMar>
              <w:top w:type="dxa" w:w="80"/>
              <w:left w:type="dxa" w:w="100"/>
              <w:bottom w:type="dxa" w:w="80"/>
              <w:right w:type="dxa" w:w="100"/>
            </w:tcMar>
          </w:tcPr>
          <w:p>
            <w:r>
              <w:rPr>
                <w:b w:val="false"/>
                <w:bCs w:val="false"/>
              </w:rPr>
              <w:t xml:space="preserve">Path to the Gmail API OAuth credentials JSON file</w:t>
            </w:r>
          </w:p>
        </w:tc>
      </w:tr>
      <w:tr>
        <w:tc>
          <w:tcPr>
            <w:tcW w:type="dxa" w:w="3400"/>
            <w:tcMar>
              <w:top w:type="dxa" w:w="80"/>
              <w:left w:type="dxa" w:w="100"/>
              <w:bottom w:type="dxa" w:w="80"/>
              <w:right w:type="dxa" w:w="100"/>
            </w:tcMar>
          </w:tcPr>
          <w:p>
            <w:r>
              <w:rPr>
                <w:b w:val="false"/>
                <w:bCs w:val="false"/>
              </w:rPr>
              <w:t xml:space="preserve">GITHUB_TOKEN</w:t>
            </w:r>
          </w:p>
        </w:tc>
        <w:tc>
          <w:tcPr>
            <w:tcW w:type="dxa" w:w="5400"/>
            <w:tcMar>
              <w:top w:type="dxa" w:w="80"/>
              <w:left w:type="dxa" w:w="100"/>
              <w:bottom w:type="dxa" w:w="80"/>
              <w:right w:type="dxa" w:w="100"/>
            </w:tcMar>
          </w:tcPr>
          <w:p>
            <w:r>
              <w:rPr>
                <w:b w:val="false"/>
                <w:bCs w:val="false"/>
              </w:rPr>
              <w:t xml:space="preserve">Personal access token for the GitHub REST API</w:t>
            </w:r>
          </w:p>
        </w:tc>
      </w:tr>
      <w:tr>
        <w:tc>
          <w:tcPr>
            <w:tcW w:type="dxa" w:w="3400"/>
            <w:tcMar>
              <w:top w:type="dxa" w:w="80"/>
              <w:left w:type="dxa" w:w="100"/>
              <w:bottom w:type="dxa" w:w="80"/>
              <w:right w:type="dxa" w:w="100"/>
            </w:tcMar>
          </w:tcPr>
          <w:p>
            <w:r>
              <w:rPr>
                <w:b w:val="false"/>
                <w:bCs w:val="false"/>
              </w:rPr>
              <w:t xml:space="preserve">GOOGLE_CALENDAR_CREDENTIALS_PATH</w:t>
            </w:r>
          </w:p>
        </w:tc>
        <w:tc>
          <w:tcPr>
            <w:tcW w:type="dxa" w:w="5400"/>
            <w:tcMar>
              <w:top w:type="dxa" w:w="80"/>
              <w:left w:type="dxa" w:w="100"/>
              <w:bottom w:type="dxa" w:w="80"/>
              <w:right w:type="dxa" w:w="100"/>
            </w:tcMar>
          </w:tcPr>
          <w:p>
            <w:r>
              <w:rPr>
                <w:b w:val="false"/>
                <w:bCs w:val="false"/>
              </w:rPr>
              <w:t xml:space="preserve">Path to the Google Calendar API OAuth credentials JSON file</w:t>
            </w:r>
          </w:p>
        </w:tc>
      </w:tr>
      <w:tr>
        <w:tc>
          <w:tcPr>
            <w:tcW w:type="dxa" w:w="3400"/>
            <w:tcMar>
              <w:top w:type="dxa" w:w="80"/>
              <w:left w:type="dxa" w:w="100"/>
              <w:bottom w:type="dxa" w:w="80"/>
              <w:right w:type="dxa" w:w="100"/>
            </w:tcMar>
          </w:tcPr>
          <w:p>
            <w:r>
              <w:rPr>
                <w:b w:val="false"/>
                <w:bCs w:val="false"/>
              </w:rPr>
              <w:t xml:space="preserve">BROWSER_HISTORY_PATH</w:t>
            </w:r>
          </w:p>
        </w:tc>
        <w:tc>
          <w:tcPr>
            <w:tcW w:type="dxa" w:w="5400"/>
            <w:tcMar>
              <w:top w:type="dxa" w:w="80"/>
              <w:left w:type="dxa" w:w="100"/>
              <w:bottom w:type="dxa" w:w="80"/>
              <w:right w:type="dxa" w:w="100"/>
            </w:tcMar>
          </w:tcPr>
          <w:p>
            <w:r>
              <w:rPr>
                <w:b w:val="false"/>
                <w:bCs w:val="false"/>
              </w:rPr>
              <w:t xml:space="preserve">Absolute path to the browser's local History SQLite file</w:t>
            </w:r>
          </w:p>
        </w:tc>
      </w:tr>
      <w:tr>
        <w:tc>
          <w:tcPr>
            <w:tcW w:type="dxa" w:w="3400"/>
            <w:tcMar>
              <w:top w:type="dxa" w:w="80"/>
              <w:left w:type="dxa" w:w="100"/>
              <w:bottom w:type="dxa" w:w="80"/>
              <w:right w:type="dxa" w:w="100"/>
            </w:tcMar>
          </w:tcPr>
          <w:p>
            <w:r>
              <w:rPr>
                <w:b w:val="false"/>
                <w:bCs w:val="false"/>
              </w:rPr>
              <w:t xml:space="preserve">LOCAL_FILES_WATCH_DIRS</w:t>
            </w:r>
          </w:p>
        </w:tc>
        <w:tc>
          <w:tcPr>
            <w:tcW w:type="dxa" w:w="5400"/>
            <w:tcMar>
              <w:top w:type="dxa" w:w="80"/>
              <w:left w:type="dxa" w:w="100"/>
              <w:bottom w:type="dxa" w:w="80"/>
              <w:right w:type="dxa" w:w="100"/>
            </w:tcMar>
          </w:tcPr>
          <w:p>
            <w:r>
              <w:rPr>
                <w:b w:val="false"/>
                <w:bCs w:val="false"/>
              </w:rPr>
              <w:t xml:space="preserve">Comma-separated list of folders the file watcher monitors</w:t>
            </w:r>
          </w:p>
        </w:tc>
      </w:tr>
    </w:tbl>
    <w:p>
      <w:pPr>
        <w:pStyle w:val="Heading2"/>
        <w:spacing w:after="150" w:before="300"/>
      </w:pPr>
      <w:r>
        <w:t xml:space="preserve">3.2 LLM provider credentials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tblHeader/>
        </w:trPr>
        <w:tc>
          <w:tcPr>
            <w:tcW w:type="dxa" w:w="3400"/>
            <w:shd w:fill="D9E2F3" w:color="auto" w:val="clear"/>
            <w:tcMar>
              <w:top w:type="dxa" w:w="80"/>
              <w:left w:type="dxa" w:w="100"/>
              <w:bottom w:type="dxa" w:w="80"/>
              <w:right w:type="dxa" w:w="100"/>
            </w:tcMar>
          </w:tcPr>
          <w:p>
            <w:r>
              <w:rPr>
                <w:b/>
                <w:bCs/>
              </w:rPr>
              <w:t xml:space="preserve">Variable</w:t>
            </w:r>
          </w:p>
        </w:tc>
        <w:tc>
          <w:tcPr>
            <w:tcW w:type="dxa" w:w="5400"/>
            <w:shd w:fill="D9E2F3" w:color="auto" w:val="clear"/>
            <w:tcMar>
              <w:top w:type="dxa" w:w="80"/>
              <w:left w:type="dxa" w:w="100"/>
              <w:bottom w:type="dxa" w:w="80"/>
              <w:right w:type="dxa" w:w="100"/>
            </w:tcMar>
          </w:tcPr>
          <w:p>
            <w:r>
              <w:rPr>
                <w:b/>
                <w:bCs/>
              </w:rPr>
              <w:t xml:space="preserve">Description</w:t>
            </w:r>
          </w:p>
        </w:tc>
      </w:tr>
      <w:tr>
        <w:tc>
          <w:tcPr>
            <w:tcW w:type="dxa" w:w="3400"/>
            <w:tcMar>
              <w:top w:type="dxa" w:w="80"/>
              <w:left w:type="dxa" w:w="100"/>
              <w:bottom w:type="dxa" w:w="80"/>
              <w:right w:type="dxa" w:w="100"/>
            </w:tcMar>
          </w:tcPr>
          <w:p>
            <w:r>
              <w:rPr>
                <w:b w:val="false"/>
                <w:bCs w:val="false"/>
              </w:rPr>
              <w:t xml:space="preserve">OPENROUTER_API_KEY</w:t>
            </w:r>
          </w:p>
        </w:tc>
        <w:tc>
          <w:tcPr>
            <w:tcW w:type="dxa" w:w="5400"/>
            <w:tcMar>
              <w:top w:type="dxa" w:w="80"/>
              <w:left w:type="dxa" w:w="100"/>
              <w:bottom w:type="dxa" w:w="80"/>
              <w:right w:type="dxa" w:w="100"/>
            </w:tcMar>
          </w:tcPr>
          <w:p>
            <w:r>
              <w:rPr>
                <w:b w:val="false"/>
                <w:bCs w:val="false"/>
              </w:rPr>
              <w:t xml:space="preserve">API key for OpenRouter; required only if provider_mode is fully_cloud or mixed</w:t>
            </w:r>
          </w:p>
        </w:tc>
      </w:tr>
      <w:tr>
        <w:tc>
          <w:tcPr>
            <w:tcW w:type="dxa" w:w="3400"/>
            <w:tcMar>
              <w:top w:type="dxa" w:w="80"/>
              <w:left w:type="dxa" w:w="100"/>
              <w:bottom w:type="dxa" w:w="80"/>
              <w:right w:type="dxa" w:w="100"/>
            </w:tcMar>
          </w:tcPr>
          <w:p>
            <w:r>
              <w:rPr>
                <w:b w:val="false"/>
                <w:bCs w:val="false"/>
              </w:rPr>
              <w:t xml:space="preserve">OLLAMA_HOST</w:t>
            </w:r>
          </w:p>
        </w:tc>
        <w:tc>
          <w:tcPr>
            <w:tcW w:type="dxa" w:w="5400"/>
            <w:tcMar>
              <w:top w:type="dxa" w:w="80"/>
              <w:left w:type="dxa" w:w="100"/>
              <w:bottom w:type="dxa" w:w="80"/>
              <w:right w:type="dxa" w:w="100"/>
            </w:tcMar>
          </w:tcPr>
          <w:p>
            <w:r>
              <w:rPr>
                <w:b w:val="false"/>
                <w:bCs w:val="false"/>
              </w:rPr>
              <w:t xml:space="preserve">Base URL for the local Ollama instance, default http://localhost:11434</w:t>
            </w:r>
          </w:p>
        </w:tc>
      </w:tr>
    </w:tbl>
    <w:p>
      <w:pPr>
        <w:pStyle w:val="Heading2"/>
        <w:spacing w:after="150" w:before="300"/>
      </w:pPr>
      <w:r>
        <w:t xml:space="preserve">3.3 Storage connection settings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tblHeader/>
        </w:trPr>
        <w:tc>
          <w:tcPr>
            <w:tcW w:type="dxa" w:w="3400"/>
            <w:shd w:fill="D9E2F3" w:color="auto" w:val="clear"/>
            <w:tcMar>
              <w:top w:type="dxa" w:w="80"/>
              <w:left w:type="dxa" w:w="100"/>
              <w:bottom w:type="dxa" w:w="80"/>
              <w:right w:type="dxa" w:w="100"/>
            </w:tcMar>
          </w:tcPr>
          <w:p>
            <w:r>
              <w:rPr>
                <w:b/>
                <w:bCs/>
              </w:rPr>
              <w:t xml:space="preserve">Variable</w:t>
            </w:r>
          </w:p>
        </w:tc>
        <w:tc>
          <w:tcPr>
            <w:tcW w:type="dxa" w:w="5400"/>
            <w:shd w:fill="D9E2F3" w:color="auto" w:val="clear"/>
            <w:tcMar>
              <w:top w:type="dxa" w:w="80"/>
              <w:left w:type="dxa" w:w="100"/>
              <w:bottom w:type="dxa" w:w="80"/>
              <w:right w:type="dxa" w:w="100"/>
            </w:tcMar>
          </w:tcPr>
          <w:p>
            <w:r>
              <w:rPr>
                <w:b/>
                <w:bCs/>
              </w:rPr>
              <w:t xml:space="preserve">Description</w:t>
            </w:r>
          </w:p>
        </w:tc>
      </w:tr>
      <w:tr>
        <w:tc>
          <w:tcPr>
            <w:tcW w:type="dxa" w:w="3400"/>
            <w:tcMar>
              <w:top w:type="dxa" w:w="80"/>
              <w:left w:type="dxa" w:w="100"/>
              <w:bottom w:type="dxa" w:w="80"/>
              <w:right w:type="dxa" w:w="100"/>
            </w:tcMar>
          </w:tcPr>
          <w:p>
            <w:r>
              <w:rPr>
                <w:b w:val="false"/>
                <w:bCs w:val="false"/>
              </w:rPr>
              <w:t xml:space="preserve">SQLITE_DB_PATH</w:t>
            </w:r>
          </w:p>
        </w:tc>
        <w:tc>
          <w:tcPr>
            <w:tcW w:type="dxa" w:w="5400"/>
            <w:tcMar>
              <w:top w:type="dxa" w:w="80"/>
              <w:left w:type="dxa" w:w="100"/>
              <w:bottom w:type="dxa" w:w="80"/>
              <w:right w:type="dxa" w:w="100"/>
            </w:tcMar>
          </w:tcPr>
          <w:p>
            <w:r>
              <w:rPr>
                <w:b w:val="false"/>
                <w:bCs w:val="false"/>
              </w:rPr>
              <w:t xml:space="preserve">Filesystem path to the SQLite database file</w:t>
            </w:r>
          </w:p>
        </w:tc>
      </w:tr>
      <w:tr>
        <w:tc>
          <w:tcPr>
            <w:tcW w:type="dxa" w:w="3400"/>
            <w:tcMar>
              <w:top w:type="dxa" w:w="80"/>
              <w:left w:type="dxa" w:w="100"/>
              <w:bottom w:type="dxa" w:w="80"/>
              <w:right w:type="dxa" w:w="100"/>
            </w:tcMar>
          </w:tcPr>
          <w:p>
            <w:r>
              <w:rPr>
                <w:b w:val="false"/>
                <w:bCs w:val="false"/>
              </w:rPr>
              <w:t xml:space="preserve">CHROMA_PERSIST_DIR</w:t>
            </w:r>
          </w:p>
        </w:tc>
        <w:tc>
          <w:tcPr>
            <w:tcW w:type="dxa" w:w="5400"/>
            <w:tcMar>
              <w:top w:type="dxa" w:w="80"/>
              <w:left w:type="dxa" w:w="100"/>
              <w:bottom w:type="dxa" w:w="80"/>
              <w:right w:type="dxa" w:w="100"/>
            </w:tcMar>
          </w:tcPr>
          <w:p>
            <w:r>
              <w:rPr>
                <w:b w:val="false"/>
                <w:bCs w:val="false"/>
              </w:rPr>
              <w:t xml:space="preserve">Local directory where Chroma persists its embedded collection</w:t>
            </w:r>
          </w:p>
        </w:tc>
      </w:tr>
      <w:tr>
        <w:tc>
          <w:tcPr>
            <w:tcW w:type="dxa" w:w="3400"/>
            <w:tcMar>
              <w:top w:type="dxa" w:w="80"/>
              <w:left w:type="dxa" w:w="100"/>
              <w:bottom w:type="dxa" w:w="80"/>
              <w:right w:type="dxa" w:w="100"/>
            </w:tcMar>
          </w:tcPr>
          <w:p>
            <w:r>
              <w:rPr>
                <w:b w:val="false"/>
                <w:bCs w:val="false"/>
              </w:rPr>
              <w:t xml:space="preserve">NEO4J_URI</w:t>
            </w:r>
          </w:p>
        </w:tc>
        <w:tc>
          <w:tcPr>
            <w:tcW w:type="dxa" w:w="5400"/>
            <w:tcMar>
              <w:top w:type="dxa" w:w="80"/>
              <w:left w:type="dxa" w:w="100"/>
              <w:bottom w:type="dxa" w:w="80"/>
              <w:right w:type="dxa" w:w="100"/>
            </w:tcMar>
          </w:tcPr>
          <w:p>
            <w:r>
              <w:rPr>
                <w:b w:val="false"/>
                <w:bCs w:val="false"/>
              </w:rPr>
              <w:t xml:space="preserve">Bolt connection URI, default bolt://localhost:7687</w:t>
            </w:r>
          </w:p>
        </w:tc>
      </w:tr>
      <w:tr>
        <w:tc>
          <w:tcPr>
            <w:tcW w:type="dxa" w:w="3400"/>
            <w:tcMar>
              <w:top w:type="dxa" w:w="80"/>
              <w:left w:type="dxa" w:w="100"/>
              <w:bottom w:type="dxa" w:w="80"/>
              <w:right w:type="dxa" w:w="100"/>
            </w:tcMar>
          </w:tcPr>
          <w:p>
            <w:r>
              <w:rPr>
                <w:b w:val="false"/>
                <w:bCs w:val="false"/>
              </w:rPr>
              <w:t xml:space="preserve">NEO4J_USER</w:t>
            </w:r>
          </w:p>
        </w:tc>
        <w:tc>
          <w:tcPr>
            <w:tcW w:type="dxa" w:w="5400"/>
            <w:tcMar>
              <w:top w:type="dxa" w:w="80"/>
              <w:left w:type="dxa" w:w="100"/>
              <w:bottom w:type="dxa" w:w="80"/>
              <w:right w:type="dxa" w:w="100"/>
            </w:tcMar>
          </w:tcPr>
          <w:p>
            <w:r>
              <w:rPr>
                <w:b w:val="false"/>
                <w:bCs w:val="false"/>
              </w:rPr>
              <w:t xml:space="preserve">Neo4j username</w:t>
            </w:r>
          </w:p>
        </w:tc>
      </w:tr>
      <w:tr>
        <w:tc>
          <w:tcPr>
            <w:tcW w:type="dxa" w:w="3400"/>
            <w:tcMar>
              <w:top w:type="dxa" w:w="80"/>
              <w:left w:type="dxa" w:w="100"/>
              <w:bottom w:type="dxa" w:w="80"/>
              <w:right w:type="dxa" w:w="100"/>
            </w:tcMar>
          </w:tcPr>
          <w:p>
            <w:r>
              <w:rPr>
                <w:b w:val="false"/>
                <w:bCs w:val="false"/>
              </w:rPr>
              <w:t xml:space="preserve">NEO4J_PASSWORD</w:t>
            </w:r>
          </w:p>
        </w:tc>
        <w:tc>
          <w:tcPr>
            <w:tcW w:type="dxa" w:w="5400"/>
            <w:tcMar>
              <w:top w:type="dxa" w:w="80"/>
              <w:left w:type="dxa" w:w="100"/>
              <w:bottom w:type="dxa" w:w="80"/>
              <w:right w:type="dxa" w:w="100"/>
            </w:tcMar>
          </w:tcPr>
          <w:p>
            <w:r>
              <w:rPr>
                <w:b w:val="false"/>
                <w:bCs w:val="false"/>
              </w:rPr>
              <w:t xml:space="preserve">Neo4j password</w:t>
            </w:r>
          </w:p>
        </w:tc>
      </w:tr>
    </w:tbl>
    <w:p>
      <w:pPr>
        <w:pStyle w:val="Heading2"/>
        <w:spacing w:after="150" w:before="300"/>
      </w:pPr>
      <w:r>
        <w:t xml:space="preserve">3.4 Application settings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tblHeader/>
        </w:trPr>
        <w:tc>
          <w:tcPr>
            <w:tcW w:type="dxa" w:w="3400"/>
            <w:shd w:fill="D9E2F3" w:color="auto" w:val="clear"/>
            <w:tcMar>
              <w:top w:type="dxa" w:w="80"/>
              <w:left w:type="dxa" w:w="100"/>
              <w:bottom w:type="dxa" w:w="80"/>
              <w:right w:type="dxa" w:w="100"/>
            </w:tcMar>
          </w:tcPr>
          <w:p>
            <w:r>
              <w:rPr>
                <w:b/>
                <w:bCs/>
              </w:rPr>
              <w:t xml:space="preserve">Variable</w:t>
            </w:r>
          </w:p>
        </w:tc>
        <w:tc>
          <w:tcPr>
            <w:tcW w:type="dxa" w:w="5400"/>
            <w:shd w:fill="D9E2F3" w:color="auto" w:val="clear"/>
            <w:tcMar>
              <w:top w:type="dxa" w:w="80"/>
              <w:left w:type="dxa" w:w="100"/>
              <w:bottom w:type="dxa" w:w="80"/>
              <w:right w:type="dxa" w:w="100"/>
            </w:tcMar>
          </w:tcPr>
          <w:p>
            <w:r>
              <w:rPr>
                <w:b/>
                <w:bCs/>
              </w:rPr>
              <w:t xml:space="preserve">Description</w:t>
            </w:r>
          </w:p>
        </w:tc>
      </w:tr>
      <w:tr>
        <w:tc>
          <w:tcPr>
            <w:tcW w:type="dxa" w:w="3400"/>
            <w:tcMar>
              <w:top w:type="dxa" w:w="80"/>
              <w:left w:type="dxa" w:w="100"/>
              <w:bottom w:type="dxa" w:w="80"/>
              <w:right w:type="dxa" w:w="100"/>
            </w:tcMar>
          </w:tcPr>
          <w:p>
            <w:r>
              <w:rPr>
                <w:b w:val="false"/>
                <w:bCs w:val="false"/>
              </w:rPr>
              <w:t xml:space="preserve">LOG_LEVEL</w:t>
            </w:r>
          </w:p>
        </w:tc>
        <w:tc>
          <w:tcPr>
            <w:tcW w:type="dxa" w:w="5400"/>
            <w:tcMar>
              <w:top w:type="dxa" w:w="80"/>
              <w:left w:type="dxa" w:w="100"/>
              <w:bottom w:type="dxa" w:w="80"/>
              <w:right w:type="dxa" w:w="100"/>
            </w:tcMar>
          </w:tcPr>
          <w:p>
            <w:r>
              <w:rPr>
                <w:b w:val="false"/>
                <w:bCs w:val="false"/>
              </w:rPr>
              <w:t xml:space="preserve">One of DEBUG, INFO, WARNING, ERROR; default INFO</w:t>
            </w:r>
          </w:p>
        </w:tc>
      </w:tr>
      <w:tr>
        <w:tc>
          <w:tcPr>
            <w:tcW w:type="dxa" w:w="3400"/>
            <w:tcMar>
              <w:top w:type="dxa" w:w="80"/>
              <w:left w:type="dxa" w:w="100"/>
              <w:bottom w:type="dxa" w:w="80"/>
              <w:right w:type="dxa" w:w="100"/>
            </w:tcMar>
          </w:tcPr>
          <w:p>
            <w:r>
              <w:rPr>
                <w:b w:val="false"/>
                <w:bCs w:val="false"/>
              </w:rPr>
              <w:t xml:space="preserve">FASTAPI_PORT</w:t>
            </w:r>
          </w:p>
        </w:tc>
        <w:tc>
          <w:tcPr>
            <w:tcW w:type="dxa" w:w="5400"/>
            <w:tcMar>
              <w:top w:type="dxa" w:w="80"/>
              <w:left w:type="dxa" w:w="100"/>
              <w:bottom w:type="dxa" w:w="80"/>
              <w:right w:type="dxa" w:w="100"/>
            </w:tcMar>
          </w:tcPr>
          <w:p>
            <w:r>
              <w:rPr>
                <w:b w:val="false"/>
                <w:bCs w:val="false"/>
              </w:rPr>
              <w:t xml:space="preserve">Port the backend binds to; default 8080</w:t>
            </w:r>
          </w:p>
        </w:tc>
      </w:tr>
      <w:tr>
        <w:tc>
          <w:tcPr>
            <w:tcW w:type="dxa" w:w="3400"/>
            <w:tcMar>
              <w:top w:type="dxa" w:w="80"/>
              <w:left w:type="dxa" w:w="100"/>
              <w:bottom w:type="dxa" w:w="80"/>
              <w:right w:type="dxa" w:w="100"/>
            </w:tcMar>
          </w:tcPr>
          <w:p>
            <w:r>
              <w:rPr>
                <w:b w:val="false"/>
                <w:bCs w:val="false"/>
              </w:rPr>
              <w:t xml:space="preserve">LANGSMITH_API_KEY</w:t>
            </w:r>
          </w:p>
        </w:tc>
        <w:tc>
          <w:tcPr>
            <w:tcW w:type="dxa" w:w="5400"/>
            <w:tcMar>
              <w:top w:type="dxa" w:w="80"/>
              <w:left w:type="dxa" w:w="100"/>
              <w:bottom w:type="dxa" w:w="80"/>
              <w:right w:type="dxa" w:w="100"/>
            </w:tcMar>
          </w:tcPr>
          <w:p>
            <w:r>
              <w:rPr>
                <w:b w:val="false"/>
                <w:bCs w:val="false"/>
              </w:rPr>
              <w:t xml:space="preserve">API key for LangSmith tracing and evaluation</w:t>
            </w:r>
          </w:p>
        </w:tc>
      </w:tr>
      <w:tr>
        <w:tc>
          <w:tcPr>
            <w:tcW w:type="dxa" w:w="3400"/>
            <w:tcMar>
              <w:top w:type="dxa" w:w="80"/>
              <w:left w:type="dxa" w:w="100"/>
              <w:bottom w:type="dxa" w:w="80"/>
              <w:right w:type="dxa" w:w="100"/>
            </w:tcMar>
          </w:tcPr>
          <w:p>
            <w:r>
              <w:rPr>
                <w:b w:val="false"/>
                <w:bCs w:val="false"/>
              </w:rPr>
              <w:t xml:space="preserve">LANGSMITH_PROJECT</w:t>
            </w:r>
          </w:p>
        </w:tc>
        <w:tc>
          <w:tcPr>
            <w:tcW w:type="dxa" w:w="5400"/>
            <w:tcMar>
              <w:top w:type="dxa" w:w="80"/>
              <w:left w:type="dxa" w:w="100"/>
              <w:bottom w:type="dxa" w:w="80"/>
              <w:right w:type="dxa" w:w="100"/>
            </w:tcMar>
          </w:tcPr>
          <w:p>
            <w:r>
              <w:rPr>
                <w:b w:val="false"/>
                <w:bCs w:val="false"/>
              </w:rPr>
              <w:t xml:space="preserve">LangSmith project name this system's traces are grouped under</w:t>
            </w:r>
          </w:p>
        </w:tc>
      </w:tr>
    </w:tbl>
    <w:p>
      <w:pPr>
        <w:pStyle w:val="Heading1"/>
        <w:spacing w:after="200" w:before="400"/>
      </w:pPr>
      <w:r>
        <w:t xml:space="preserve">4. config.yaml Structure</w:t>
      </w:r>
    </w:p>
    <w:p>
      <w:pPr>
        <w:shd w:fill="F2F2F2" w:color="auto" w:val="clear"/>
        <w:spacing w:after="40"/>
      </w:pPr>
      <w:r>
        <w:rPr>
          <w:rFonts w:ascii="Consolas" w:cs="Consolas" w:eastAsia="Consolas" w:hAnsi="Consolas"/>
          <w:sz w:val="18"/>
          <w:szCs w:val="18"/>
        </w:rPr>
        <w:t xml:space="preserve">llm:</w:t>
      </w:r>
    </w:p>
    <w:p>
      <w:pPr>
        <w:shd w:fill="F2F2F2" w:color="auto" w:val="clear"/>
        <w:spacing w:after="40"/>
      </w:pPr>
      <w:r>
        <w:rPr>
          <w:rFonts w:ascii="Consolas" w:cs="Consolas" w:eastAsia="Consolas" w:hAnsi="Consolas"/>
          <w:sz w:val="18"/>
          <w:szCs w:val="18"/>
        </w:rPr>
        <w:t xml:space="preserve">  provider_mode: mixed          # fully_local | fully_cloud | mixed</w:t>
      </w:r>
    </w:p>
    <w:p>
      <w:pPr>
        <w:shd w:fill="F2F2F2" w:color="auto" w:val="clear"/>
        <w:spacing w:after="40"/>
      </w:pPr>
      <w:r>
        <w:rPr>
          <w:rFonts w:ascii="Consolas" w:cs="Consolas" w:eastAsia="Consolas" w:hAnsi="Consolas"/>
          <w:sz w:val="18"/>
          <w:szCs w:val="18"/>
        </w:rPr>
        <w:t xml:space="preserve">  local_model: llama3:8b        # used when provider_mode is fully_local or mixed (ingestion tasks)</w:t>
      </w:r>
    </w:p>
    <w:p>
      <w:pPr>
        <w:shd w:fill="F2F2F2" w:color="auto" w:val="clear"/>
        <w:spacing w:after="40"/>
      </w:pPr>
      <w:r>
        <w:rPr>
          <w:rFonts w:ascii="Consolas" w:cs="Consolas" w:eastAsia="Consolas" w:hAnsi="Consolas"/>
          <w:sz w:val="18"/>
          <w:szCs w:val="18"/>
        </w:rPr>
        <w:t xml:space="preserve">  cloud_model: anthropic/claude-sonnet-4   # used for cloud-routed tasks</w:t>
      </w:r>
    </w:p>
    <w:p>
      <w:pPr>
        <w:shd w:fill="F2F2F2" w:color="auto" w:val="clear"/>
        <w:spacing w:after="40"/>
      </w:pPr>
      <w:r>
        <w:rPr>
          <w:rFonts w:ascii="Consolas" w:cs="Consolas" w:eastAsia="Consolas" w:hAnsi="Consolas"/>
          <w:sz w:val="18"/>
          <w:szCs w:val="18"/>
        </w:rPr>
        <w:t xml:space="preserve"/>
      </w:r>
    </w:p>
    <w:p>
      <w:pPr>
        <w:shd w:fill="F2F2F2" w:color="auto" w:val="clear"/>
        <w:spacing w:after="40"/>
      </w:pPr>
      <w:r>
        <w:rPr>
          <w:rFonts w:ascii="Consolas" w:cs="Consolas" w:eastAsia="Consolas" w:hAnsi="Consolas"/>
          <w:sz w:val="18"/>
          <w:szCs w:val="18"/>
        </w:rPr>
        <w:t xml:space="preserve">ingestion:</w:t>
      </w:r>
    </w:p>
    <w:p>
      <w:pPr>
        <w:shd w:fill="F2F2F2" w:color="auto" w:val="clear"/>
        <w:spacing w:after="40"/>
      </w:pPr>
      <w:r>
        <w:rPr>
          <w:rFonts w:ascii="Consolas" w:cs="Consolas" w:eastAsia="Consolas" w:hAnsi="Consolas"/>
          <w:sz w:val="18"/>
          <w:szCs w:val="18"/>
        </w:rPr>
        <w:t xml:space="preserve">  schedule: "0 23 * * *"        # cron expression; default 11 PM daily</w:t>
      </w:r>
    </w:p>
    <w:p>
      <w:pPr>
        <w:shd w:fill="F2F2F2" w:color="auto" w:val="clear"/>
        <w:spacing w:after="40"/>
      </w:pPr>
      <w:r>
        <w:rPr>
          <w:rFonts w:ascii="Consolas" w:cs="Consolas" w:eastAsia="Consolas" w:hAnsi="Consolas"/>
          <w:sz w:val="18"/>
          <w:szCs w:val="18"/>
        </w:rPr>
        <w:t xml:space="preserve">  batch_metadata_group_size: 10 # items grouped per metadata-extraction LLM call</w:t>
      </w:r>
    </w:p>
    <w:p>
      <w:pPr>
        <w:shd w:fill="F2F2F2" w:color="auto" w:val="clear"/>
        <w:spacing w:after="40"/>
      </w:pPr>
      <w:r>
        <w:rPr>
          <w:rFonts w:ascii="Consolas" w:cs="Consolas" w:eastAsia="Consolas" w:hAnsi="Consolas"/>
          <w:sz w:val="18"/>
          <w:szCs w:val="18"/>
        </w:rPr>
        <w:t xml:space="preserve"/>
      </w:r>
    </w:p>
    <w:p>
      <w:pPr>
        <w:shd w:fill="F2F2F2" w:color="auto" w:val="clear"/>
        <w:spacing w:after="40"/>
      </w:pPr>
      <w:r>
        <w:rPr>
          <w:rFonts w:ascii="Consolas" w:cs="Consolas" w:eastAsia="Consolas" w:hAnsi="Consolas"/>
          <w:sz w:val="18"/>
          <w:szCs w:val="18"/>
        </w:rPr>
        <w:t xml:space="preserve">filters:</w:t>
      </w:r>
    </w:p>
    <w:p>
      <w:pPr>
        <w:shd w:fill="F2F2F2" w:color="auto" w:val="clear"/>
        <w:spacing w:after="40"/>
      </w:pPr>
      <w:r>
        <w:rPr>
          <w:rFonts w:ascii="Consolas" w:cs="Consolas" w:eastAsia="Consolas" w:hAnsi="Consolas"/>
          <w:sz w:val="18"/>
          <w:szCs w:val="18"/>
        </w:rPr>
        <w:t xml:space="preserve">  browser_history:</w:t>
      </w:r>
    </w:p>
    <w:p>
      <w:pPr>
        <w:shd w:fill="F2F2F2" w:color="auto" w:val="clear"/>
        <w:spacing w:after="40"/>
      </w:pPr>
      <w:r>
        <w:rPr>
          <w:rFonts w:ascii="Consolas" w:cs="Consolas" w:eastAsia="Consolas" w:hAnsi="Consolas"/>
          <w:sz w:val="18"/>
          <w:szCs w:val="18"/>
        </w:rPr>
        <w:t xml:space="preserve">    min_visit_count: 2</w:t>
      </w:r>
    </w:p>
    <w:p>
      <w:pPr>
        <w:shd w:fill="F2F2F2" w:color="auto" w:val="clear"/>
        <w:spacing w:after="40"/>
      </w:pPr>
      <w:r>
        <w:rPr>
          <w:rFonts w:ascii="Consolas" w:cs="Consolas" w:eastAsia="Consolas" w:hAnsi="Consolas"/>
          <w:sz w:val="18"/>
          <w:szCs w:val="18"/>
        </w:rPr>
        <w:t xml:space="preserve">    domain_blocklist: [google.com/search, facebook.com, instagram.com, x.com]</w:t>
      </w:r>
    </w:p>
    <w:p>
      <w:pPr>
        <w:shd w:fill="F2F2F2" w:color="auto" w:val="clear"/>
        <w:spacing w:after="40"/>
      </w:pPr>
      <w:r>
        <w:rPr>
          <w:rFonts w:ascii="Consolas" w:cs="Consolas" w:eastAsia="Consolas" w:hAnsi="Consolas"/>
          <w:sz w:val="18"/>
          <w:szCs w:val="18"/>
        </w:rPr>
        <w:t xml:space="preserve">  gmail:</w:t>
      </w:r>
    </w:p>
    <w:p>
      <w:pPr>
        <w:shd w:fill="F2F2F2" w:color="auto" w:val="clear"/>
        <w:spacing w:after="40"/>
      </w:pPr>
      <w:r>
        <w:rPr>
          <w:rFonts w:ascii="Consolas" w:cs="Consolas" w:eastAsia="Consolas" w:hAnsi="Consolas"/>
          <w:sz w:val="18"/>
          <w:szCs w:val="18"/>
        </w:rPr>
        <w:t xml:space="preserve">    excluded_labels: [CATEGORY_PROMOTIONS, CATEGORY_SOCIAL]</w:t>
      </w:r>
    </w:p>
    <w:p>
      <w:pPr>
        <w:shd w:fill="F2F2F2" w:color="auto" w:val="clear"/>
        <w:spacing w:after="40"/>
      </w:pPr>
      <w:r>
        <w:rPr>
          <w:rFonts w:ascii="Consolas" w:cs="Consolas" w:eastAsia="Consolas" w:hAnsi="Consolas"/>
          <w:sz w:val="18"/>
          <w:szCs w:val="18"/>
        </w:rPr>
        <w:t xml:space="preserve"/>
      </w:r>
    </w:p>
    <w:p>
      <w:pPr>
        <w:shd w:fill="F2F2F2" w:color="auto" w:val="clear"/>
        <w:spacing w:after="40"/>
      </w:pPr>
      <w:r>
        <w:rPr>
          <w:rFonts w:ascii="Consolas" w:cs="Consolas" w:eastAsia="Consolas" w:hAnsi="Consolas"/>
          <w:sz w:val="18"/>
          <w:szCs w:val="18"/>
        </w:rPr>
        <w:t xml:space="preserve">chunking:</w:t>
      </w:r>
    </w:p>
    <w:p>
      <w:pPr>
        <w:shd w:fill="F2F2F2" w:color="auto" w:val="clear"/>
        <w:spacing w:after="40"/>
      </w:pPr>
      <w:r>
        <w:rPr>
          <w:rFonts w:ascii="Consolas" w:cs="Consolas" w:eastAsia="Consolas" w:hAnsi="Consolas"/>
          <w:sz w:val="18"/>
          <w:szCs w:val="18"/>
        </w:rPr>
        <w:t xml:space="preserve">  target_chunk_size_tokens: 400</w:t>
      </w:r>
    </w:p>
    <w:p>
      <w:pPr>
        <w:shd w:fill="F2F2F2" w:color="auto" w:val="clear"/>
        <w:spacing w:after="40"/>
      </w:pPr>
      <w:r>
        <w:rPr>
          <w:rFonts w:ascii="Consolas" w:cs="Consolas" w:eastAsia="Consolas" w:hAnsi="Consolas"/>
          <w:sz w:val="18"/>
          <w:szCs w:val="18"/>
        </w:rPr>
        <w:t xml:space="preserve">  chunk_overlap_tokens: 40</w:t>
      </w:r>
    </w:p>
    <w:p>
      <w:pPr>
        <w:shd w:fill="F2F2F2" w:color="auto" w:val="clear"/>
        <w:spacing w:after="40"/>
      </w:pPr>
      <w:r>
        <w:rPr>
          <w:rFonts w:ascii="Consolas" w:cs="Consolas" w:eastAsia="Consolas" w:hAnsi="Consolas"/>
          <w:sz w:val="18"/>
          <w:szCs w:val="18"/>
        </w:rPr>
        <w:t xml:space="preserve"/>
      </w:r>
    </w:p>
    <w:p>
      <w:pPr>
        <w:shd w:fill="F2F2F2" w:color="auto" w:val="clear"/>
        <w:spacing w:after="40"/>
      </w:pPr>
      <w:r>
        <w:rPr>
          <w:rFonts w:ascii="Consolas" w:cs="Consolas" w:eastAsia="Consolas" w:hAnsi="Consolas"/>
          <w:sz w:val="18"/>
          <w:szCs w:val="18"/>
        </w:rPr>
        <w:t xml:space="preserve">retrieval:</w:t>
      </w:r>
    </w:p>
    <w:p>
      <w:pPr>
        <w:shd w:fill="F2F2F2" w:color="auto" w:val="clear"/>
        <w:spacing w:after="40"/>
      </w:pPr>
      <w:r>
        <w:rPr>
          <w:rFonts w:ascii="Consolas" w:cs="Consolas" w:eastAsia="Consolas" w:hAnsi="Consolas"/>
          <w:sz w:val="18"/>
          <w:szCs w:val="18"/>
        </w:rPr>
        <w:t xml:space="preserve">  top_k_vector: 8</w:t>
      </w:r>
    </w:p>
    <w:p>
      <w:pPr>
        <w:shd w:fill="F2F2F2" w:color="auto" w:val="clear"/>
        <w:spacing w:after="40"/>
      </w:pPr>
      <w:r>
        <w:rPr>
          <w:rFonts w:ascii="Consolas" w:cs="Consolas" w:eastAsia="Consolas" w:hAnsi="Consolas"/>
          <w:sz w:val="18"/>
          <w:szCs w:val="18"/>
        </w:rPr>
        <w:t xml:space="preserve">  top_k_keyword: 8</w:t>
      </w:r>
    </w:p>
    <w:p>
      <w:pPr>
        <w:shd w:fill="F2F2F2" w:color="auto" w:val="clear"/>
        <w:spacing w:after="40"/>
      </w:pPr>
      <w:r>
        <w:rPr>
          <w:rFonts w:ascii="Consolas" w:cs="Consolas" w:eastAsia="Consolas" w:hAnsi="Consolas"/>
          <w:sz w:val="18"/>
          <w:szCs w:val="18"/>
        </w:rPr>
        <w:t xml:space="preserve">  relationship_candidate_count: 10</w:t>
      </w:r>
    </w:p>
    <w:p>
      <w:pPr>
        <w:shd w:fill="F2F2F2" w:color="auto" w:val="clear"/>
        <w:spacing w:after="40"/>
      </w:pPr>
      <w:r>
        <w:rPr>
          <w:rFonts w:ascii="Consolas" w:cs="Consolas" w:eastAsia="Consolas" w:hAnsi="Consolas"/>
          <w:sz w:val="18"/>
          <w:szCs w:val="18"/>
        </w:rPr>
        <w:t xml:space="preserve"/>
      </w:r>
    </w:p>
    <w:p>
      <w:pPr>
        <w:shd w:fill="F2F2F2" w:color="auto" w:val="clear"/>
        <w:spacing w:after="40"/>
      </w:pPr>
      <w:r>
        <w:rPr>
          <w:rFonts w:ascii="Consolas" w:cs="Consolas" w:eastAsia="Consolas" w:hAnsi="Consolas"/>
          <w:sz w:val="18"/>
          <w:szCs w:val="18"/>
        </w:rPr>
        <w:t xml:space="preserve">embedding:</w:t>
      </w:r>
    </w:p>
    <w:p>
      <w:pPr>
        <w:shd w:fill="F2F2F2" w:color="auto" w:val="clear"/>
        <w:spacing w:after="40"/>
      </w:pPr>
      <w:r>
        <w:rPr>
          <w:rFonts w:ascii="Consolas" w:cs="Consolas" w:eastAsia="Consolas" w:hAnsi="Consolas"/>
          <w:sz w:val="18"/>
          <w:szCs w:val="18"/>
        </w:rPr>
        <w:t xml:space="preserve">  model: sentence-transformers/all-MiniLM-L6-v2</w:t>
      </w:r>
    </w:p>
    <w:p>
      <w:pPr>
        <w:pStyle w:val="Heading1"/>
        <w:spacing w:after="200" w:before="400"/>
      </w:pPr>
      <w:r>
        <w:t xml:space="preserve">5. Setup Checklist (New Machine)</w:t>
      </w:r>
    </w:p>
    <w:p>
      <w:pPr>
        <w:pStyle w:val="ListParagraph"/>
        <w:numPr>
          <w:ilvl w:val="0"/>
          <w:numId w:val="1"/>
        </w:numPr>
        <w:spacing w:after="80"/>
      </w:pPr>
      <w:r>
        <w:t xml:space="preserve">1. Install uv (the sole Python package/environment manager for this project), then run uv sync from the repository root to create the virtual environment and install locked dependencies.</w:t>
      </w:r>
    </w:p>
    <w:p>
      <w:pPr>
        <w:pStyle w:val="ListParagraph"/>
        <w:numPr>
          <w:ilvl w:val="0"/>
          <w:numId w:val="1"/>
        </w:numPr>
        <w:spacing w:after="80"/>
      </w:pPr>
      <w:r>
        <w:t xml:space="preserve">2. Install Neo4j Community Edition and configure it to auto-start on boot; set NEO4J_URI/USER/PASSWORD.</w:t>
      </w:r>
    </w:p>
    <w:p>
      <w:pPr>
        <w:pStyle w:val="ListParagraph"/>
        <w:numPr>
          <w:ilvl w:val="0"/>
          <w:numId w:val="1"/>
        </w:numPr>
        <w:spacing w:after="80"/>
      </w:pPr>
      <w:r>
        <w:t xml:space="preserve">3. Install Ollama and pull the configured local_model, if using fully_local or mixed provider mode.</w:t>
      </w:r>
    </w:p>
    <w:p>
      <w:pPr>
        <w:pStyle w:val="ListParagraph"/>
        <w:numPr>
          <w:ilvl w:val="0"/>
          <w:numId w:val="1"/>
        </w:numPr>
        <w:spacing w:after="80"/>
      </w:pPr>
      <w:r>
        <w:t xml:space="preserve">4. Create Notion integration, Gmail OAuth credentials, GitHub personal access token, and Google Calendar OAuth credentials; populate the corresponding .env variables.</w:t>
      </w:r>
    </w:p>
    <w:p>
      <w:pPr>
        <w:pStyle w:val="ListParagraph"/>
        <w:numPr>
          <w:ilvl w:val="0"/>
          <w:numId w:val="1"/>
        </w:numPr>
        <w:spacing w:after="80"/>
      </w:pPr>
      <w:r>
        <w:t xml:space="preserve">5. Set BROWSER_HISTORY_PATH to the correct OS-specific path for the browser being used.</w:t>
      </w:r>
    </w:p>
    <w:p>
      <w:pPr>
        <w:pStyle w:val="ListParagraph"/>
        <w:numPr>
          <w:ilvl w:val="0"/>
          <w:numId w:val="1"/>
        </w:numPr>
        <w:spacing w:after="80"/>
      </w:pPr>
      <w:r>
        <w:t xml:space="preserve">6. Set LOCAL_FILES_WATCH_DIRS to the folders that should be monitored.</w:t>
      </w:r>
    </w:p>
    <w:p>
      <w:pPr>
        <w:pStyle w:val="ListParagraph"/>
        <w:numPr>
          <w:ilvl w:val="0"/>
          <w:numId w:val="1"/>
        </w:numPr>
        <w:spacing w:after="80"/>
      </w:pPr>
      <w:r>
        <w:t xml:space="preserve">7. If using fully_cloud or mixed provider mode, set OPENROUTER_API_KEY.</w:t>
      </w:r>
    </w:p>
    <w:p>
      <w:pPr>
        <w:pStyle w:val="ListParagraph"/>
        <w:numPr>
          <w:ilvl w:val="0"/>
          <w:numId w:val="1"/>
        </w:numPr>
        <w:spacing w:after="80"/>
      </w:pPr>
      <w:r>
        <w:t xml:space="preserve">8. Copy config/.env.example to config/.env and fill in all values above.</w:t>
      </w:r>
    </w:p>
    <w:p>
      <w:pPr>
        <w:pStyle w:val="ListParagraph"/>
        <w:numPr>
          <w:ilvl w:val="0"/>
          <w:numId w:val="1"/>
        </w:numPr>
        <w:spacing w:after="80"/>
      </w:pPr>
      <w:r>
        <w:t xml:space="preserve">9. Register scheduler/daily_batch.py (run via uv run) with cron (Mac/Linux) or Task Scheduler (Windows) using the schedule defined in config.yaml.</w:t>
      </w:r>
    </w:p>
    <w:p>
      <w:pPr>
        <w:pStyle w:val="ListParagraph"/>
        <w:numPr>
          <w:ilvl w:val="0"/>
          <w:numId w:val="1"/>
        </w:numPr>
        <w:spacing w:after="80"/>
      </w:pPr>
      <w:r>
        <w:t xml:space="preserve">10. Register the FastAPI process (run via uv run) to auto-start on boot (e.g. via a systemd service, launchd agent, or Windows startup task).</w:t>
      </w:r>
    </w:p>
    <w:p>
      <w:pPr>
        <w:spacing w:after="200"/>
      </w:pPr>
    </w:p>
    <w:p>
      <w:pPr>
        <w:spacing w:before="300"/>
      </w:pPr>
      <w:r>
        <w:rPr>
          <w:i/>
          <w:iCs/>
          <w:color w:val="777777"/>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2026-08-14T17:25:06.529Z</dcterms:created>
  <dcterms:modified xsi:type="dcterms:W3CDTF">2026-08-14T17:25:06.529Z</dcterms:modified>
</cp:coreProperties>
</file>

<file path=docProps/custom.xml><?xml version="1.0" encoding="utf-8"?>
<Properties xmlns="http://schemas.openxmlformats.org/officeDocument/2006/custom-properties" xmlns:vt="http://schemas.openxmlformats.org/officeDocument/2006/docPropsVTypes"/>
</file>