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56"/>
          <w:szCs w:val="56"/>
        </w:rPr>
        <w:t xml:space="preserve">Personal Knowledge Graph Agent</w:t>
      </w:r>
    </w:p>
    <w:p>
      <w:pPr>
        <w:spacing w:after="100"/>
      </w:pPr>
      <w:r>
        <w:rPr>
          <w:color w:val="555555"/>
          <w:sz w:val="32"/>
          <w:szCs w:val="32"/>
        </w:rPr>
        <w:t xml:space="preserve">Tech Stack Document</w:t>
      </w:r>
    </w:p>
    <w:p>
      <w:pPr>
        <w:spacing w:after="60"/>
      </w:pPr>
      <w:r>
        <w:rPr>
          <w:i/>
          <w:iCs/>
          <w:sz w:val="24"/>
          <w:szCs w:val="24"/>
        </w:rPr>
        <w:t xml:space="preserve">Prepared for: Shivam Shinde</w:t>
      </w:r>
    </w:p>
    <w:p>
      <w:pPr>
        <w:spacing w:after="60"/>
      </w:pPr>
      <w:r>
        <w:rPr>
          <w:i/>
          <w:iCs/>
          <w:sz w:val="24"/>
          <w:szCs w:val="24"/>
        </w:rPr>
        <w:t xml:space="preserve">Companion to: System Architecture Document</w:t>
      </w:r>
    </w:p>
    <w:p>
      <w:pPr>
        <w:spacing w:after="700"/>
      </w:pPr>
    </w:p>
    <w:p>
      <w:pPr>
        <w:pStyle w:val="Heading1"/>
        <w:spacing w:after="200" w:before="400"/>
      </w:pPr>
      <w:r>
        <w:t xml:space="preserve">1. Purpose</w:t>
      </w:r>
    </w:p>
    <w:p>
      <w:pPr>
        <w:spacing w:after="160"/>
      </w:pPr>
      <w:r>
        <w:t xml:space="preserve">This document lists every technology used in the system, grouped by concern, along with the reasoning behind each choice and the alternatives that were considered and set aside.</w:t>
      </w:r>
    </w:p>
    <w:p>
      <w:pPr>
        <w:pStyle w:val="Heading1"/>
        <w:spacing w:after="200" w:before="400"/>
      </w:pPr>
      <w:r>
        <w:t xml:space="preserve">2. Full Stack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00"/>
      </w:tblGrid>
      <w:tr>
        <w:trPr>
          <w:tblHeader/>
        </w:trPr>
        <w:tc>
          <w:tcPr>
            <w:tcW w:type="dxa" w:w="2800"/>
            <w:shd w:fill="D9E2F3" w:color="auto" w:val="clear"/>
            <w:tcMar>
              <w:top w:type="dxa" w:w="80"/>
              <w:left w:type="dxa" w:w="100"/>
              <w:bottom w:type="dxa" w:w="80"/>
              <w:right w:type="dxa" w:w="100"/>
            </w:tcMar>
          </w:tcPr>
          <w:p>
            <w:r>
              <w:rPr>
                <w:b/>
                <w:bCs/>
              </w:rPr>
              <w:t xml:space="preserve">Concern</w:t>
            </w:r>
          </w:p>
        </w:tc>
        <w:tc>
          <w:tcPr>
            <w:tcW w:type="dxa" w:w="3800"/>
            <w:shd w:fill="D9E2F3" w:color="auto" w:val="clear"/>
            <w:tcMar>
              <w:top w:type="dxa" w:w="80"/>
              <w:left w:type="dxa" w:w="100"/>
              <w:bottom w:type="dxa" w:w="80"/>
              <w:right w:type="dxa" w:w="100"/>
            </w:tcMar>
          </w:tcPr>
          <w:p>
            <w:r>
              <w:rPr>
                <w:b/>
                <w:bCs/>
              </w:rPr>
              <w:t xml:space="preserve">Technology</w:t>
            </w:r>
          </w:p>
        </w:tc>
        <w:tc>
          <w:tcPr>
            <w:tcW w:type="dxa" w:w="3000"/>
            <w:shd w:fill="D9E2F3" w:color="auto" w:val="clear"/>
            <w:tcMar>
              <w:top w:type="dxa" w:w="80"/>
              <w:left w:type="dxa" w:w="100"/>
              <w:bottom w:type="dxa" w:w="80"/>
              <w:right w:type="dxa" w:w="100"/>
            </w:tcMar>
          </w:tcPr>
          <w:p>
            <w:r>
              <w:rPr>
                <w:b/>
                <w:bCs/>
              </w:rPr>
              <w:t xml:space="preserve">Notes</w:t>
            </w:r>
          </w:p>
        </w:tc>
      </w:tr>
      <w:tr>
        <w:tc>
          <w:tcPr>
            <w:tcW w:type="dxa" w:w="2800"/>
            <w:tcMar>
              <w:top w:type="dxa" w:w="80"/>
              <w:left w:type="dxa" w:w="100"/>
              <w:bottom w:type="dxa" w:w="80"/>
              <w:right w:type="dxa" w:w="100"/>
            </w:tcMar>
          </w:tcPr>
          <w:p>
            <w:r>
              <w:rPr>
                <w:b w:val="false"/>
                <w:bCs w:val="false"/>
              </w:rPr>
              <w:t xml:space="preserve">Orchestration / agent framework</w:t>
            </w:r>
          </w:p>
        </w:tc>
        <w:tc>
          <w:tcPr>
            <w:tcW w:type="dxa" w:w="3800"/>
            <w:tcMar>
              <w:top w:type="dxa" w:w="80"/>
              <w:left w:type="dxa" w:w="100"/>
              <w:bottom w:type="dxa" w:w="80"/>
              <w:right w:type="dxa" w:w="100"/>
            </w:tcMar>
          </w:tcPr>
          <w:p>
            <w:r>
              <w:rPr>
                <w:b w:val="false"/>
                <w:bCs w:val="false"/>
              </w:rPr>
              <w:t xml:space="preserve">LangGraph</w:t>
            </w:r>
          </w:p>
        </w:tc>
        <w:tc>
          <w:tcPr>
            <w:tcW w:type="dxa" w:w="3000"/>
            <w:tcMar>
              <w:top w:type="dxa" w:w="80"/>
              <w:left w:type="dxa" w:w="100"/>
              <w:bottom w:type="dxa" w:w="80"/>
              <w:right w:type="dxa" w:w="100"/>
            </w:tcMar>
          </w:tcPr>
          <w:p>
            <w:r>
              <w:rPr>
                <w:b w:val="false"/>
                <w:bCs w:val="false"/>
              </w:rPr>
              <w:t xml:space="preserve">State machine for the query-time reasoning agent</w:t>
            </w:r>
          </w:p>
        </w:tc>
      </w:tr>
      <w:tr>
        <w:tc>
          <w:tcPr>
            <w:tcW w:type="dxa" w:w="2800"/>
            <w:tcMar>
              <w:top w:type="dxa" w:w="80"/>
              <w:left w:type="dxa" w:w="100"/>
              <w:bottom w:type="dxa" w:w="80"/>
              <w:right w:type="dxa" w:w="100"/>
            </w:tcMar>
          </w:tcPr>
          <w:p>
            <w:r>
              <w:rPr>
                <w:b w:val="false"/>
                <w:bCs w:val="false"/>
              </w:rPr>
              <w:t xml:space="preserve">LLM tooling</w:t>
            </w:r>
          </w:p>
        </w:tc>
        <w:tc>
          <w:tcPr>
            <w:tcW w:type="dxa" w:w="3800"/>
            <w:tcMar>
              <w:top w:type="dxa" w:w="80"/>
              <w:left w:type="dxa" w:w="100"/>
              <w:bottom w:type="dxa" w:w="80"/>
              <w:right w:type="dxa" w:w="100"/>
            </w:tcMar>
          </w:tcPr>
          <w:p>
            <w:r>
              <w:rPr>
                <w:b w:val="false"/>
                <w:bCs w:val="false"/>
              </w:rPr>
              <w:t xml:space="preserve">LangChain</w:t>
            </w:r>
          </w:p>
        </w:tc>
        <w:tc>
          <w:tcPr>
            <w:tcW w:type="dxa" w:w="3000"/>
            <w:tcMar>
              <w:top w:type="dxa" w:w="80"/>
              <w:left w:type="dxa" w:w="100"/>
              <w:bottom w:type="dxa" w:w="80"/>
              <w:right w:type="dxa" w:w="100"/>
            </w:tcMar>
          </w:tcPr>
          <w:p>
            <w:r>
              <w:rPr>
                <w:b w:val="false"/>
                <w:bCs w:val="false"/>
              </w:rPr>
              <w:t xml:space="preserve">Prompting, chains, and provider integration utilities</w:t>
            </w:r>
          </w:p>
        </w:tc>
      </w:tr>
      <w:tr>
        <w:tc>
          <w:tcPr>
            <w:tcW w:type="dxa" w:w="2800"/>
            <w:tcMar>
              <w:top w:type="dxa" w:w="80"/>
              <w:left w:type="dxa" w:w="100"/>
              <w:bottom w:type="dxa" w:w="80"/>
              <w:right w:type="dxa" w:w="100"/>
            </w:tcMar>
          </w:tcPr>
          <w:p>
            <w:r>
              <w:rPr>
                <w:b w:val="false"/>
                <w:bCs w:val="false"/>
              </w:rPr>
              <w:t xml:space="preserve">Observability / evaluation</w:t>
            </w:r>
          </w:p>
        </w:tc>
        <w:tc>
          <w:tcPr>
            <w:tcW w:type="dxa" w:w="3800"/>
            <w:tcMar>
              <w:top w:type="dxa" w:w="80"/>
              <w:left w:type="dxa" w:w="100"/>
              <w:bottom w:type="dxa" w:w="80"/>
              <w:right w:type="dxa" w:w="100"/>
            </w:tcMar>
          </w:tcPr>
          <w:p>
            <w:r>
              <w:rPr>
                <w:b w:val="false"/>
                <w:bCs w:val="false"/>
              </w:rPr>
              <w:t xml:space="preserve">LangSmith</w:t>
            </w:r>
          </w:p>
        </w:tc>
        <w:tc>
          <w:tcPr>
            <w:tcW w:type="dxa" w:w="3000"/>
            <w:tcMar>
              <w:top w:type="dxa" w:w="80"/>
              <w:left w:type="dxa" w:w="100"/>
              <w:bottom w:type="dxa" w:w="80"/>
              <w:right w:type="dxa" w:w="100"/>
            </w:tcMar>
          </w:tcPr>
          <w:p>
            <w:r>
              <w:rPr>
                <w:b w:val="false"/>
                <w:bCs w:val="false"/>
              </w:rPr>
              <w:t xml:space="preserve">Tracing, dataset management, automated evaluators</w:t>
            </w:r>
          </w:p>
        </w:tc>
      </w:tr>
      <w:tr>
        <w:tc>
          <w:tcPr>
            <w:tcW w:type="dxa" w:w="2800"/>
            <w:tcMar>
              <w:top w:type="dxa" w:w="80"/>
              <w:left w:type="dxa" w:w="100"/>
              <w:bottom w:type="dxa" w:w="80"/>
              <w:right w:type="dxa" w:w="100"/>
            </w:tcMar>
          </w:tcPr>
          <w:p>
            <w:r>
              <w:rPr>
                <w:b w:val="false"/>
                <w:bCs w:val="false"/>
              </w:rPr>
              <w:t xml:space="preserve">Backend API</w:t>
            </w:r>
          </w:p>
        </w:tc>
        <w:tc>
          <w:tcPr>
            <w:tcW w:type="dxa" w:w="3800"/>
            <w:tcMar>
              <w:top w:type="dxa" w:w="80"/>
              <w:left w:type="dxa" w:w="100"/>
              <w:bottom w:type="dxa" w:w="80"/>
              <w:right w:type="dxa" w:w="100"/>
            </w:tcMar>
          </w:tcPr>
          <w:p>
            <w:r>
              <w:rPr>
                <w:b w:val="false"/>
                <w:bCs w:val="false"/>
              </w:rPr>
              <w:t xml:space="preserve">FastAPI (Python)</w:t>
            </w:r>
          </w:p>
        </w:tc>
        <w:tc>
          <w:tcPr>
            <w:tcW w:type="dxa" w:w="3000"/>
            <w:tcMar>
              <w:top w:type="dxa" w:w="80"/>
              <w:left w:type="dxa" w:w="100"/>
              <w:bottom w:type="dxa" w:w="80"/>
              <w:right w:type="dxa" w:w="100"/>
            </w:tcMar>
          </w:tcPr>
          <w:p>
            <w:r>
              <w:rPr>
                <w:b w:val="false"/>
                <w:bCs w:val="false"/>
              </w:rPr>
              <w:t xml:space="preserve">Serves the agent and the frontend</w:t>
            </w:r>
          </w:p>
        </w:tc>
      </w:tr>
      <w:tr>
        <w:tc>
          <w:tcPr>
            <w:tcW w:type="dxa" w:w="2800"/>
            <w:tcMar>
              <w:top w:type="dxa" w:w="80"/>
              <w:left w:type="dxa" w:w="100"/>
              <w:bottom w:type="dxa" w:w="80"/>
              <w:right w:type="dxa" w:w="100"/>
            </w:tcMar>
          </w:tcPr>
          <w:p>
            <w:r>
              <w:rPr>
                <w:b w:val="false"/>
                <w:bCs w:val="false"/>
              </w:rPr>
              <w:t xml:space="preserve">Frontend</w:t>
            </w:r>
          </w:p>
        </w:tc>
        <w:tc>
          <w:tcPr>
            <w:tcW w:type="dxa" w:w="3800"/>
            <w:tcMar>
              <w:top w:type="dxa" w:w="80"/>
              <w:left w:type="dxa" w:w="100"/>
              <w:bottom w:type="dxa" w:w="80"/>
              <w:right w:type="dxa" w:w="100"/>
            </w:tcMar>
          </w:tcPr>
          <w:p>
            <w:r>
              <w:rPr>
                <w:b w:val="false"/>
                <w:bCs w:val="false"/>
              </w:rPr>
              <w:t xml:space="preserve">React</w:t>
            </w:r>
          </w:p>
        </w:tc>
        <w:tc>
          <w:tcPr>
            <w:tcW w:type="dxa" w:w="3000"/>
            <w:tcMar>
              <w:top w:type="dxa" w:w="80"/>
              <w:left w:type="dxa" w:w="100"/>
              <w:bottom w:type="dxa" w:w="80"/>
              <w:right w:type="dxa" w:w="100"/>
            </w:tcMar>
          </w:tcPr>
          <w:p>
            <w:r>
              <w:rPr>
                <w:b w:val="false"/>
                <w:bCs w:val="false"/>
              </w:rPr>
              <w:t xml:space="preserve">Chat-style single-page interface</w:t>
            </w:r>
          </w:p>
        </w:tc>
      </w:tr>
      <w:tr>
        <w:tc>
          <w:tcPr>
            <w:tcW w:type="dxa" w:w="2800"/>
            <w:tcMar>
              <w:top w:type="dxa" w:w="80"/>
              <w:left w:type="dxa" w:w="100"/>
              <w:bottom w:type="dxa" w:w="80"/>
              <w:right w:type="dxa" w:w="100"/>
            </w:tcMar>
          </w:tcPr>
          <w:p>
            <w:r>
              <w:rPr>
                <w:b w:val="false"/>
                <w:bCs w:val="false"/>
              </w:rPr>
              <w:t xml:space="preserve">Relational storage</w:t>
            </w:r>
          </w:p>
        </w:tc>
        <w:tc>
          <w:tcPr>
            <w:tcW w:type="dxa" w:w="3800"/>
            <w:tcMar>
              <w:top w:type="dxa" w:w="80"/>
              <w:left w:type="dxa" w:w="100"/>
              <w:bottom w:type="dxa" w:w="80"/>
              <w:right w:type="dxa" w:w="100"/>
            </w:tcMar>
          </w:tcPr>
          <w:p>
            <w:r>
              <w:rPr>
                <w:b w:val="false"/>
                <w:bCs w:val="false"/>
              </w:rPr>
              <w:t xml:space="preserve">SQLite</w:t>
            </w:r>
          </w:p>
        </w:tc>
        <w:tc>
          <w:tcPr>
            <w:tcW w:type="dxa" w:w="3000"/>
            <w:tcMar>
              <w:top w:type="dxa" w:w="80"/>
              <w:left w:type="dxa" w:w="100"/>
              <w:bottom w:type="dxa" w:w="80"/>
              <w:right w:type="dxa" w:w="100"/>
            </w:tcMar>
          </w:tcPr>
          <w:p>
            <w:r>
              <w:rPr>
                <w:b w:val="false"/>
                <w:bCs w:val="false"/>
              </w:rPr>
              <w:t xml:space="preserve">Raw text and reference metadata</w:t>
            </w:r>
          </w:p>
        </w:tc>
      </w:tr>
      <w:tr>
        <w:tc>
          <w:tcPr>
            <w:tcW w:type="dxa" w:w="2800"/>
            <w:tcMar>
              <w:top w:type="dxa" w:w="80"/>
              <w:left w:type="dxa" w:w="100"/>
              <w:bottom w:type="dxa" w:w="80"/>
              <w:right w:type="dxa" w:w="100"/>
            </w:tcMar>
          </w:tcPr>
          <w:p>
            <w:r>
              <w:rPr>
                <w:b w:val="false"/>
                <w:bCs w:val="false"/>
              </w:rPr>
              <w:t xml:space="preserve">Vector storage</w:t>
            </w:r>
          </w:p>
        </w:tc>
        <w:tc>
          <w:tcPr>
            <w:tcW w:type="dxa" w:w="3800"/>
            <w:tcMar>
              <w:top w:type="dxa" w:w="80"/>
              <w:left w:type="dxa" w:w="100"/>
              <w:bottom w:type="dxa" w:w="80"/>
              <w:right w:type="dxa" w:w="100"/>
            </w:tcMar>
          </w:tcPr>
          <w:p>
            <w:r>
              <w:rPr>
                <w:b w:val="false"/>
                <w:bCs w:val="false"/>
              </w:rPr>
              <w:t xml:space="preserve">Chroma</w:t>
            </w:r>
          </w:p>
        </w:tc>
        <w:tc>
          <w:tcPr>
            <w:tcW w:type="dxa" w:w="3000"/>
            <w:tcMar>
              <w:top w:type="dxa" w:w="80"/>
              <w:left w:type="dxa" w:w="100"/>
              <w:bottom w:type="dxa" w:w="80"/>
              <w:right w:type="dxa" w:w="100"/>
            </w:tcMar>
          </w:tcPr>
          <w:p>
            <w:r>
              <w:rPr>
                <w:b w:val="false"/>
                <w:bCs w:val="false"/>
              </w:rPr>
              <w:t xml:space="preserve">Local, embedded mode</w:t>
            </w:r>
          </w:p>
        </w:tc>
      </w:tr>
      <w:tr>
        <w:tc>
          <w:tcPr>
            <w:tcW w:type="dxa" w:w="2800"/>
            <w:tcMar>
              <w:top w:type="dxa" w:w="80"/>
              <w:left w:type="dxa" w:w="100"/>
              <w:bottom w:type="dxa" w:w="80"/>
              <w:right w:type="dxa" w:w="100"/>
            </w:tcMar>
          </w:tcPr>
          <w:p>
            <w:r>
              <w:rPr>
                <w:b w:val="false"/>
                <w:bCs w:val="false"/>
              </w:rPr>
              <w:t xml:space="preserve">Graph storage</w:t>
            </w:r>
          </w:p>
        </w:tc>
        <w:tc>
          <w:tcPr>
            <w:tcW w:type="dxa" w:w="3800"/>
            <w:tcMar>
              <w:top w:type="dxa" w:w="80"/>
              <w:left w:type="dxa" w:w="100"/>
              <w:bottom w:type="dxa" w:w="80"/>
              <w:right w:type="dxa" w:w="100"/>
            </w:tcMar>
          </w:tcPr>
          <w:p>
            <w:r>
              <w:rPr>
                <w:b w:val="false"/>
                <w:bCs w:val="false"/>
              </w:rPr>
              <w:t xml:space="preserve">Neo4j Community Edition</w:t>
            </w:r>
          </w:p>
        </w:tc>
        <w:tc>
          <w:tcPr>
            <w:tcW w:type="dxa" w:w="3000"/>
            <w:tcMar>
              <w:top w:type="dxa" w:w="80"/>
              <w:left w:type="dxa" w:w="100"/>
              <w:bottom w:type="dxa" w:w="80"/>
              <w:right w:type="dxa" w:w="100"/>
            </w:tcMar>
          </w:tcPr>
          <w:p>
            <w:r>
              <w:rPr>
                <w:b w:val="false"/>
                <w:bCs w:val="false"/>
              </w:rPr>
              <w:t xml:space="preserve">Local background service</w:t>
            </w:r>
          </w:p>
        </w:tc>
      </w:tr>
      <w:tr>
        <w:tc>
          <w:tcPr>
            <w:tcW w:type="dxa" w:w="2800"/>
            <w:tcMar>
              <w:top w:type="dxa" w:w="80"/>
              <w:left w:type="dxa" w:w="100"/>
              <w:bottom w:type="dxa" w:w="80"/>
              <w:right w:type="dxa" w:w="100"/>
            </w:tcMar>
          </w:tcPr>
          <w:p>
            <w:r>
              <w:rPr>
                <w:b w:val="false"/>
                <w:bCs w:val="false"/>
              </w:rPr>
              <w:t xml:space="preserve">Embeddings</w:t>
            </w:r>
          </w:p>
        </w:tc>
        <w:tc>
          <w:tcPr>
            <w:tcW w:type="dxa" w:w="3800"/>
            <w:tcMar>
              <w:top w:type="dxa" w:w="80"/>
              <w:left w:type="dxa" w:w="100"/>
              <w:bottom w:type="dxa" w:w="80"/>
              <w:right w:type="dxa" w:w="100"/>
            </w:tcMar>
          </w:tcPr>
          <w:p>
            <w:r>
              <w:rPr>
                <w:b w:val="false"/>
                <w:bCs w:val="false"/>
              </w:rPr>
              <w:t xml:space="preserve">sentence-transformers (all-MiniLM-L6-v2)</w:t>
            </w:r>
          </w:p>
        </w:tc>
        <w:tc>
          <w:tcPr>
            <w:tcW w:type="dxa" w:w="3000"/>
            <w:tcMar>
              <w:top w:type="dxa" w:w="80"/>
              <w:left w:type="dxa" w:w="100"/>
              <w:bottom w:type="dxa" w:w="80"/>
              <w:right w:type="dxa" w:w="100"/>
            </w:tcMar>
          </w:tcPr>
          <w:p>
            <w:r>
              <w:rPr>
                <w:b w:val="false"/>
                <w:bCs w:val="false"/>
              </w:rPr>
              <w:t xml:space="preserve">Local, free, no API cost</w:t>
            </w:r>
          </w:p>
        </w:tc>
      </w:tr>
      <w:tr>
        <w:tc>
          <w:tcPr>
            <w:tcW w:type="dxa" w:w="2800"/>
            <w:tcMar>
              <w:top w:type="dxa" w:w="80"/>
              <w:left w:type="dxa" w:w="100"/>
              <w:bottom w:type="dxa" w:w="80"/>
              <w:right w:type="dxa" w:w="100"/>
            </w:tcMar>
          </w:tcPr>
          <w:p>
            <w:r>
              <w:rPr>
                <w:b w:val="false"/>
                <w:bCs w:val="false"/>
              </w:rPr>
              <w:t xml:space="preserve">Keyword search</w:t>
            </w:r>
          </w:p>
        </w:tc>
        <w:tc>
          <w:tcPr>
            <w:tcW w:type="dxa" w:w="3800"/>
            <w:tcMar>
              <w:top w:type="dxa" w:w="80"/>
              <w:left w:type="dxa" w:w="100"/>
              <w:bottom w:type="dxa" w:w="80"/>
              <w:right w:type="dxa" w:w="100"/>
            </w:tcMar>
          </w:tcPr>
          <w:p>
            <w:r>
              <w:rPr>
                <w:b w:val="false"/>
                <w:bCs w:val="false"/>
              </w:rPr>
              <w:t xml:space="preserve">BM25 / SQLite FTS5</w:t>
            </w:r>
          </w:p>
        </w:tc>
        <w:tc>
          <w:tcPr>
            <w:tcW w:type="dxa" w:w="3000"/>
            <w:tcMar>
              <w:top w:type="dxa" w:w="80"/>
              <w:left w:type="dxa" w:w="100"/>
              <w:bottom w:type="dxa" w:w="80"/>
              <w:right w:type="dxa" w:w="100"/>
            </w:tcMar>
          </w:tcPr>
          <w:p>
            <w:r>
              <w:rPr>
                <w:b w:val="false"/>
                <w:bCs w:val="false"/>
              </w:rPr>
              <w:t xml:space="preserve">Combined with vector search via Reciprocal Rank Fusion</w:t>
            </w:r>
          </w:p>
        </w:tc>
      </w:tr>
      <w:tr>
        <w:tc>
          <w:tcPr>
            <w:tcW w:type="dxa" w:w="2800"/>
            <w:tcMar>
              <w:top w:type="dxa" w:w="80"/>
              <w:left w:type="dxa" w:w="100"/>
              <w:bottom w:type="dxa" w:w="80"/>
              <w:right w:type="dxa" w:w="100"/>
            </w:tcMar>
          </w:tcPr>
          <w:p>
            <w:r>
              <w:rPr>
                <w:b w:val="false"/>
                <w:bCs w:val="false"/>
              </w:rPr>
              <w:t xml:space="preserve">Local LLM runtime</w:t>
            </w:r>
          </w:p>
        </w:tc>
        <w:tc>
          <w:tcPr>
            <w:tcW w:type="dxa" w:w="3800"/>
            <w:tcMar>
              <w:top w:type="dxa" w:w="80"/>
              <w:left w:type="dxa" w:w="100"/>
              <w:bottom w:type="dxa" w:w="80"/>
              <w:right w:type="dxa" w:w="100"/>
            </w:tcMar>
          </w:tcPr>
          <w:p>
            <w:r>
              <w:rPr>
                <w:b w:val="false"/>
                <w:bCs w:val="false"/>
              </w:rPr>
              <w:t xml:space="preserve">Ollama</w:t>
            </w:r>
          </w:p>
        </w:tc>
        <w:tc>
          <w:tcPr>
            <w:tcW w:type="dxa" w:w="3000"/>
            <w:tcMar>
              <w:top w:type="dxa" w:w="80"/>
              <w:left w:type="dxa" w:w="100"/>
              <w:bottom w:type="dxa" w:w="80"/>
              <w:right w:type="dxa" w:w="100"/>
            </w:tcMar>
          </w:tcPr>
          <w:p>
            <w:r>
              <w:rPr>
                <w:b w:val="false"/>
                <w:bCs w:val="false"/>
              </w:rPr>
              <w:t xml:space="preserve">Runs open source models locally</w:t>
            </w:r>
          </w:p>
        </w:tc>
      </w:tr>
      <w:tr>
        <w:tc>
          <w:tcPr>
            <w:tcW w:type="dxa" w:w="2800"/>
            <w:tcMar>
              <w:top w:type="dxa" w:w="80"/>
              <w:left w:type="dxa" w:w="100"/>
              <w:bottom w:type="dxa" w:w="80"/>
              <w:right w:type="dxa" w:w="100"/>
            </w:tcMar>
          </w:tcPr>
          <w:p>
            <w:r>
              <w:rPr>
                <w:b w:val="false"/>
                <w:bCs w:val="false"/>
              </w:rPr>
              <w:t xml:space="preserve">Cloud LLM access</w:t>
            </w:r>
          </w:p>
        </w:tc>
        <w:tc>
          <w:tcPr>
            <w:tcW w:type="dxa" w:w="3800"/>
            <w:tcMar>
              <w:top w:type="dxa" w:w="80"/>
              <w:left w:type="dxa" w:w="100"/>
              <w:bottom w:type="dxa" w:w="80"/>
              <w:right w:type="dxa" w:w="100"/>
            </w:tcMar>
          </w:tcPr>
          <w:p>
            <w:r>
              <w:rPr>
                <w:b w:val="false"/>
                <w:bCs w:val="false"/>
              </w:rPr>
              <w:t xml:space="preserve">OpenRouter</w:t>
            </w:r>
          </w:p>
        </w:tc>
        <w:tc>
          <w:tcPr>
            <w:tcW w:type="dxa" w:w="3000"/>
            <w:tcMar>
              <w:top w:type="dxa" w:w="80"/>
              <w:left w:type="dxa" w:w="100"/>
              <w:bottom w:type="dxa" w:w="80"/>
              <w:right w:type="dxa" w:w="100"/>
            </w:tcMar>
          </w:tcPr>
          <w:p>
            <w:r>
              <w:rPr>
                <w:b w:val="false"/>
                <w:bCs w:val="false"/>
              </w:rPr>
              <w:t xml:space="preserve">Unified API across many hosted model providers</w:t>
            </w:r>
          </w:p>
        </w:tc>
      </w:tr>
      <w:tr>
        <w:tc>
          <w:tcPr>
            <w:tcW w:type="dxa" w:w="2800"/>
            <w:tcMar>
              <w:top w:type="dxa" w:w="80"/>
              <w:left w:type="dxa" w:w="100"/>
              <w:bottom w:type="dxa" w:w="80"/>
              <w:right w:type="dxa" w:w="100"/>
            </w:tcMar>
          </w:tcPr>
          <w:p>
            <w:r>
              <w:rPr>
                <w:b w:val="false"/>
                <w:bCs w:val="false"/>
              </w:rPr>
              <w:t xml:space="preserve">Scheduling</w:t>
            </w:r>
          </w:p>
        </w:tc>
        <w:tc>
          <w:tcPr>
            <w:tcW w:type="dxa" w:w="3800"/>
            <w:tcMar>
              <w:top w:type="dxa" w:w="80"/>
              <w:left w:type="dxa" w:w="100"/>
              <w:bottom w:type="dxa" w:w="80"/>
              <w:right w:type="dxa" w:w="100"/>
            </w:tcMar>
          </w:tcPr>
          <w:p>
            <w:r>
              <w:rPr>
                <w:b w:val="false"/>
                <w:bCs w:val="false"/>
              </w:rPr>
              <w:t xml:space="preserve">cron (Mac/Linux) / Task Scheduler (Windows)</w:t>
            </w:r>
          </w:p>
        </w:tc>
        <w:tc>
          <w:tcPr>
            <w:tcW w:type="dxa" w:w="3000"/>
            <w:tcMar>
              <w:top w:type="dxa" w:w="80"/>
              <w:left w:type="dxa" w:w="100"/>
              <w:bottom w:type="dxa" w:w="80"/>
              <w:right w:type="dxa" w:w="100"/>
            </w:tcMar>
          </w:tcPr>
          <w:p>
            <w:r>
              <w:rPr>
                <w:b w:val="false"/>
                <w:bCs w:val="false"/>
              </w:rPr>
              <w:t xml:space="preserve">Triggers the daily batch ingestion job</w:t>
            </w:r>
          </w:p>
        </w:tc>
      </w:tr>
      <w:tr>
        <w:tc>
          <w:tcPr>
            <w:tcW w:type="dxa" w:w="2800"/>
            <w:tcMar>
              <w:top w:type="dxa" w:w="80"/>
              <w:left w:type="dxa" w:w="100"/>
              <w:bottom w:type="dxa" w:w="80"/>
              <w:right w:type="dxa" w:w="100"/>
            </w:tcMar>
          </w:tcPr>
          <w:p>
            <w:r>
              <w:rPr>
                <w:b w:val="false"/>
                <w:bCs w:val="false"/>
              </w:rPr>
              <w:t xml:space="preserve">File watching</w:t>
            </w:r>
          </w:p>
        </w:tc>
        <w:tc>
          <w:tcPr>
            <w:tcW w:type="dxa" w:w="3800"/>
            <w:tcMar>
              <w:top w:type="dxa" w:w="80"/>
              <w:left w:type="dxa" w:w="100"/>
              <w:bottom w:type="dxa" w:w="80"/>
              <w:right w:type="dxa" w:w="100"/>
            </w:tcMar>
          </w:tcPr>
          <w:p>
            <w:r>
              <w:rPr>
                <w:b w:val="false"/>
                <w:bCs w:val="false"/>
              </w:rPr>
              <w:t xml:space="preserve">Python watchdog</w:t>
            </w:r>
          </w:p>
        </w:tc>
        <w:tc>
          <w:tcPr>
            <w:tcW w:type="dxa" w:w="3000"/>
            <w:tcMar>
              <w:top w:type="dxa" w:w="80"/>
              <w:left w:type="dxa" w:w="100"/>
              <w:bottom w:type="dxa" w:w="80"/>
              <w:right w:type="dxa" w:w="100"/>
            </w:tcMar>
          </w:tcPr>
          <w:p>
            <w:r>
              <w:rPr>
                <w:b w:val="false"/>
                <w:bCs w:val="false"/>
              </w:rPr>
              <w:t xml:space="preserve">Detects new/changed local files</w:t>
            </w:r>
          </w:p>
        </w:tc>
      </w:tr>
      <w:tr>
        <w:tc>
          <w:tcPr>
            <w:tcW w:type="dxa" w:w="2800"/>
            <w:tcMar>
              <w:top w:type="dxa" w:w="80"/>
              <w:left w:type="dxa" w:w="100"/>
              <w:bottom w:type="dxa" w:w="80"/>
              <w:right w:type="dxa" w:w="100"/>
            </w:tcMar>
          </w:tcPr>
          <w:p>
            <w:r>
              <w:rPr>
                <w:b w:val="false"/>
                <w:bCs w:val="false"/>
              </w:rPr>
              <w:t xml:space="preserve">Code formatting/linting (Python)</w:t>
            </w:r>
          </w:p>
        </w:tc>
        <w:tc>
          <w:tcPr>
            <w:tcW w:type="dxa" w:w="3800"/>
            <w:tcMar>
              <w:top w:type="dxa" w:w="80"/>
              <w:left w:type="dxa" w:w="100"/>
              <w:bottom w:type="dxa" w:w="80"/>
              <w:right w:type="dxa" w:w="100"/>
            </w:tcMar>
          </w:tcPr>
          <w:p>
            <w:r>
              <w:rPr>
                <w:b w:val="false"/>
                <w:bCs w:val="false"/>
              </w:rPr>
              <w:t xml:space="preserve">black, ruff</w:t>
            </w:r>
          </w:p>
        </w:tc>
        <w:tc>
          <w:tcPr>
            <w:tcW w:type="dxa" w:w="3000"/>
            <w:tcMar>
              <w:top w:type="dxa" w:w="80"/>
              <w:left w:type="dxa" w:w="100"/>
              <w:bottom w:type="dxa" w:w="80"/>
              <w:right w:type="dxa" w:w="100"/>
            </w:tcMar>
          </w:tcPr>
          <w:p>
            <w:r>
              <w:rPr>
                <w:b w:val="false"/>
                <w:bCs w:val="false"/>
              </w:rPr>
              <w:t xml:space="preserve">Enforces the Coding Convention Document's Python style rules</w:t>
            </w:r>
          </w:p>
        </w:tc>
      </w:tr>
      <w:tr>
        <w:tc>
          <w:tcPr>
            <w:tcW w:type="dxa" w:w="2800"/>
            <w:tcMar>
              <w:top w:type="dxa" w:w="80"/>
              <w:left w:type="dxa" w:w="100"/>
              <w:bottom w:type="dxa" w:w="80"/>
              <w:right w:type="dxa" w:w="100"/>
            </w:tcMar>
          </w:tcPr>
          <w:p>
            <w:r>
              <w:rPr>
                <w:b w:val="false"/>
                <w:bCs w:val="false"/>
              </w:rPr>
              <w:t xml:space="preserve">Python package/environment management</w:t>
            </w:r>
          </w:p>
        </w:tc>
        <w:tc>
          <w:tcPr>
            <w:tcW w:type="dxa" w:w="3800"/>
            <w:tcMar>
              <w:top w:type="dxa" w:w="80"/>
              <w:left w:type="dxa" w:w="100"/>
              <w:bottom w:type="dxa" w:w="80"/>
              <w:right w:type="dxa" w:w="100"/>
            </w:tcMar>
          </w:tcPr>
          <w:p>
            <w:r>
              <w:rPr>
                <w:b w:val="false"/>
                <w:bCs w:val="false"/>
              </w:rPr>
              <w:t xml:space="preserve">uv</w:t>
            </w:r>
          </w:p>
        </w:tc>
        <w:tc>
          <w:tcPr>
            <w:tcW w:type="dxa" w:w="3000"/>
            <w:tcMar>
              <w:top w:type="dxa" w:w="80"/>
              <w:left w:type="dxa" w:w="100"/>
              <w:bottom w:type="dxa" w:w="80"/>
              <w:right w:type="dxa" w:w="100"/>
            </w:tcMar>
          </w:tcPr>
          <w:p>
            <w:r>
              <w:rPr>
                <w:b w:val="false"/>
                <w:bCs w:val="false"/>
              </w:rPr>
              <w:t xml:space="preserve">Sole dependency and virtual environment manager for all Python code</w:t>
            </w:r>
          </w:p>
        </w:tc>
      </w:tr>
      <w:tr>
        <w:tc>
          <w:tcPr>
            <w:tcW w:type="dxa" w:w="2800"/>
            <w:tcMar>
              <w:top w:type="dxa" w:w="80"/>
              <w:left w:type="dxa" w:w="100"/>
              <w:bottom w:type="dxa" w:w="80"/>
              <w:right w:type="dxa" w:w="100"/>
            </w:tcMar>
          </w:tcPr>
          <w:p>
            <w:r>
              <w:rPr>
                <w:b w:val="false"/>
                <w:bCs w:val="false"/>
              </w:rPr>
              <w:t xml:space="preserve">Code formatting/linting (JS)</w:t>
            </w:r>
          </w:p>
        </w:tc>
        <w:tc>
          <w:tcPr>
            <w:tcW w:type="dxa" w:w="3800"/>
            <w:tcMar>
              <w:top w:type="dxa" w:w="80"/>
              <w:left w:type="dxa" w:w="100"/>
              <w:bottom w:type="dxa" w:w="80"/>
              <w:right w:type="dxa" w:w="100"/>
            </w:tcMar>
          </w:tcPr>
          <w:p>
            <w:r>
              <w:rPr>
                <w:b w:val="false"/>
                <w:bCs w:val="false"/>
              </w:rPr>
              <w:t xml:space="preserve">Prettier, ESLint</w:t>
            </w:r>
          </w:p>
        </w:tc>
        <w:tc>
          <w:tcPr>
            <w:tcW w:type="dxa" w:w="3000"/>
            <w:tcMar>
              <w:top w:type="dxa" w:w="80"/>
              <w:left w:type="dxa" w:w="100"/>
              <w:bottom w:type="dxa" w:w="80"/>
              <w:right w:type="dxa" w:w="100"/>
            </w:tcMar>
          </w:tcPr>
          <w:p>
            <w:r>
              <w:rPr>
                <w:b w:val="false"/>
                <w:bCs w:val="false"/>
              </w:rPr>
              <w:t xml:space="preserve">Enforces the Coding Convention Document's frontend style rules</w:t>
            </w:r>
          </w:p>
        </w:tc>
      </w:tr>
      <w:tr>
        <w:tc>
          <w:tcPr>
            <w:tcW w:type="dxa" w:w="2800"/>
            <w:tcMar>
              <w:top w:type="dxa" w:w="80"/>
              <w:left w:type="dxa" w:w="100"/>
              <w:bottom w:type="dxa" w:w="80"/>
              <w:right w:type="dxa" w:w="100"/>
            </w:tcMar>
          </w:tcPr>
          <w:p>
            <w:r>
              <w:rPr>
                <w:b w:val="false"/>
                <w:bCs w:val="false"/>
              </w:rPr>
              <w:t xml:space="preserve">Testing</w:t>
            </w:r>
          </w:p>
        </w:tc>
        <w:tc>
          <w:tcPr>
            <w:tcW w:type="dxa" w:w="3800"/>
            <w:tcMar>
              <w:top w:type="dxa" w:w="80"/>
              <w:left w:type="dxa" w:w="100"/>
              <w:bottom w:type="dxa" w:w="80"/>
              <w:right w:type="dxa" w:w="100"/>
            </w:tcMar>
          </w:tcPr>
          <w:p>
            <w:r>
              <w:rPr>
                <w:b w:val="false"/>
                <w:bCs w:val="false"/>
              </w:rPr>
              <w:t xml:space="preserve">pytest</w:t>
            </w:r>
          </w:p>
        </w:tc>
        <w:tc>
          <w:tcPr>
            <w:tcW w:type="dxa" w:w="3000"/>
            <w:tcMar>
              <w:top w:type="dxa" w:w="80"/>
              <w:left w:type="dxa" w:w="100"/>
              <w:bottom w:type="dxa" w:w="80"/>
              <w:right w:type="dxa" w:w="100"/>
            </w:tcMar>
          </w:tcPr>
          <w:p>
            <w:r>
              <w:rPr>
                <w:b w:val="false"/>
                <w:bCs w:val="false"/>
              </w:rPr>
              <w:t xml:space="preserve">Unit and integration tests across all backend layers</w:t>
            </w:r>
          </w:p>
        </w:tc>
      </w:tr>
    </w:tbl>
    <w:p>
      <w:pPr>
        <w:pStyle w:val="Heading1"/>
        <w:spacing w:after="200" w:before="400"/>
      </w:pPr>
      <w:r>
        <w:t xml:space="preserve">3. Rationale by Component</w:t>
      </w:r>
    </w:p>
    <w:p>
      <w:pPr>
        <w:pStyle w:val="Heading2"/>
        <w:spacing w:after="150" w:before="300"/>
      </w:pPr>
      <w:r>
        <w:t xml:space="preserve">3.1 LangGraph, LangChain, LangSmith</w:t>
      </w:r>
    </w:p>
    <w:p>
      <w:pPr>
        <w:spacing w:after="160"/>
      </w:pPr>
      <w:r>
        <w:t xml:space="preserve">Chosen as the core framework family specifically because this project exists in part to build applied depth with these three tools. LangGraph's explicit state machine model fits the multi-step retrieval decision (route, search, merge, synthesize) better than a single linear chain would. LangSmith is the natural evaluation partner for a LangGraph agent, providing tracing and dataset-based evaluation without a separate custom-built observability layer.</w:t>
      </w:r>
    </w:p>
    <w:p>
      <w:pPr>
        <w:pStyle w:val="Heading2"/>
        <w:spacing w:after="150" w:before="300"/>
      </w:pPr>
      <w:r>
        <w:t xml:space="preserve">3.2 FastAPI</w:t>
      </w:r>
    </w:p>
    <w:p>
      <w:pPr>
        <w:spacing w:after="160"/>
      </w:pPr>
      <w:r>
        <w:t xml:space="preserve">Selected over Flask or Django for its native async support (useful given multiple I/O-bound calls per query: vector search, keyword search, graph traversal, LLM calls), automatic OpenAPI schema generation, and prior hands-on experience from the PRLens and Mythology Worldbuilding projects.</w:t>
      </w:r>
    </w:p>
    <w:p>
      <w:pPr>
        <w:pStyle w:val="Heading2"/>
        <w:spacing w:after="150" w:before="300"/>
      </w:pPr>
      <w:r>
        <w:t xml:space="preserve">3.3 React</w:t>
      </w:r>
    </w:p>
    <w:p>
      <w:pPr>
        <w:spacing w:after="160"/>
      </w:pPr>
      <w:r>
        <w:t xml:space="preserve">Selected over a plain HTML/JavaScript page specifically because the interface needed to feel like a genuine product worth returning to daily, and over a heavier framework because the interface itself (chat window, sidebar, settings panel) does not need more than component-level state management. Prior experience from PRLens and Mythology Worldbuilding also made this the fastest path to a polished result.</w:t>
      </w:r>
    </w:p>
    <w:p>
      <w:pPr>
        <w:pStyle w:val="Heading2"/>
        <w:spacing w:after="150" w:before="300"/>
      </w:pPr>
      <w:r>
        <w:t xml:space="preserve">3.4 SQLite</w:t>
      </w:r>
    </w:p>
    <w:p>
      <w:pPr>
        <w:spacing w:after="160"/>
      </w:pPr>
      <w:r>
        <w:t xml:space="preserve">Chosen over PostgreSQL for a single-user, single-machine system where a full client-server database adds operational overhead without a corresponding benefit. SQLite also requires no background service (it is just a file), matching the project's preference for minimal always-running processes. Its FTS5 extension additionally covers the keyword-search half of hybrid search without a separate search engine dependency.</w:t>
      </w:r>
    </w:p>
    <w:p>
      <w:pPr>
        <w:pStyle w:val="Heading2"/>
        <w:spacing w:after="150" w:before="300"/>
      </w:pPr>
      <w:r>
        <w:t xml:space="preserve">3.5 Chroma</w:t>
      </w:r>
    </w:p>
    <w:p>
      <w:pPr>
        <w:spacing w:after="160"/>
      </w:pPr>
      <w:r>
        <w:t xml:space="preserve">Chosen over Pinecone or Weaviate Cloud specifically to keep all personal data (including Gmail content and browsing history) local, avoiding any transmission of sensitive content to a third-party vector database service. Chroma's embedded mode requires no separate server process, consistent with the project's local-first, low-operational-overhead design.</w:t>
      </w:r>
    </w:p>
    <w:p>
      <w:pPr>
        <w:pStyle w:val="Heading2"/>
        <w:spacing w:after="150" w:before="300"/>
      </w:pPr>
      <w:r>
        <w:t xml:space="preserve">3.6 Neo4j Community Edition</w:t>
      </w:r>
    </w:p>
    <w:p>
      <w:pPr>
        <w:spacing w:after="160"/>
      </w:pPr>
      <w:r>
        <w:t xml:space="preserve">Chosen over alternative graph databases due to prior direct hands-on experience from the Fake Review Bounty Hunter project, and because the Community Edition is free and fully capable of running locally as a background service, matching the project's zero-hosting-cost constraint.</w:t>
      </w:r>
    </w:p>
    <w:p>
      <w:pPr>
        <w:pStyle w:val="Heading2"/>
        <w:spacing w:after="150" w:before="300"/>
      </w:pPr>
      <w:r>
        <w:t xml:space="preserve">3.7 sentence-transformers (local embeddings)</w:t>
      </w:r>
    </w:p>
    <w:p>
      <w:pPr>
        <w:spacing w:after="160"/>
      </w:pPr>
      <w:r>
        <w:t xml:space="preserve">Chosen over a paid embedding API (e.g. OpenAI or Voyage embeddings) since embedding generation does not require top-tier reasoning capability, and running it locally removes an entire cost line item from the system with negligible quality trade-off for personal-scale retrieval.</w:t>
      </w:r>
    </w:p>
    <w:p>
      <w:pPr>
        <w:pStyle w:val="Heading2"/>
        <w:spacing w:after="150" w:before="300"/>
      </w:pPr>
      <w:r>
        <w:t xml:space="preserve">3.8 Ollama + OpenRouter (dual LLM provider)</w:t>
      </w:r>
    </w:p>
    <w:p>
      <w:pPr>
        <w:spacing w:after="160"/>
      </w:pPr>
      <w:r>
        <w:t xml:space="preserve">Ollama was chosen as the local LLM runtime for its simplicity in running open source models (Llama, Mistral, Qwen) with minimal setup. OpenRouter was chosen over integrating directly with a single vendor's API (e.g. the Claude API alone) because model pricing and quality leadership shift over time; OpenRouter's unified API lets the model used for any given task be changed via configuration rather than a code change, and gives users without the hardware for local inference a cloud path under the same interface.</w:t>
      </w:r>
    </w:p>
    <w:p>
      <w:pPr>
        <w:pStyle w:val="Heading2"/>
        <w:spacing w:after="150" w:before="300"/>
      </w:pPr>
      <w:r>
        <w:t xml:space="preserve">3.9 BM25 / Reciprocal Rank Fusion</w:t>
      </w:r>
    </w:p>
    <w:p>
      <w:pPr>
        <w:spacing w:after="160"/>
      </w:pPr>
      <w:r>
        <w:t xml:space="preserve">Chosen after identifying that pure semantic search alone would blur exact matches on project names, error messages, and specific identifiers. BM25 (via SQLite FTS5) was chosen over standing up a separate search engine (e.g. Elasticsearch) purely to avoid an additional always-running service; Reciprocal Rank Fusion was chosen as a standard, well-understood method for merging two independently ranked result lists without needing to tune a custom weighting scheme.</w:t>
      </w:r>
    </w:p>
    <w:p>
      <w:pPr>
        <w:pStyle w:val="Heading2"/>
        <w:spacing w:after="150" w:before="300"/>
      </w:pPr>
      <w:r>
        <w:t xml:space="preserve">3.10 cron / Task Scheduler</w:t>
      </w:r>
    </w:p>
    <w:p>
      <w:pPr>
        <w:spacing w:after="160"/>
      </w:pPr>
      <w:r>
        <w:t xml:space="preserve">Chosen over a custom always-running scheduler process, since the ingestion job only needs to run once daily; using the operating system's native scheduler avoids maintaining an additional long-lived process purely to track time.</w:t>
      </w:r>
    </w:p>
    <w:p>
      <w:pPr>
        <w:pStyle w:val="Heading2"/>
        <w:spacing w:after="150" w:before="300"/>
      </w:pPr>
      <w:r>
        <w:t xml:space="preserve">3.11 uv</w:t>
      </w:r>
    </w:p>
    <w:p>
      <w:pPr>
        <w:spacing w:after="160"/>
      </w:pPr>
      <w:r>
        <w:t xml:space="preserve">Chosen over pip+venv, Poetry, or Pipenv as the sole Python package and environment manager for its significantly faster dependency resolution and installation, a single lockfile (uv.lock) that keeps every environment reproducible, and a single tool covering both virtual environment creation and dependency management rather than combining two separate tools. All Python setup, dependency, and execution commands in this project's documentation (uv sync, uv add, uv run) assume uv rather than pip.</w:t>
      </w:r>
    </w:p>
    <w:p>
      <w:pPr>
        <w:pStyle w:val="Heading1"/>
        <w:spacing w:after="200" w:before="400"/>
      </w:pPr>
      <w:r>
        <w:t xml:space="preserve">4. Alternatives Considered and Rejected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rPr>
          <w:tblHeader/>
        </w:trPr>
        <w:tc>
          <w:tcPr>
            <w:tcW w:type="dxa" w:w="2800"/>
            <w:shd w:fill="D9E2F3" w:color="auto" w:val="clear"/>
            <w:tcMar>
              <w:top w:type="dxa" w:w="80"/>
              <w:left w:type="dxa" w:w="100"/>
              <w:bottom w:type="dxa" w:w="80"/>
              <w:right w:type="dxa" w:w="100"/>
            </w:tcMar>
          </w:tcPr>
          <w:p>
            <w:r>
              <w:rPr>
                <w:b/>
                <w:bCs/>
              </w:rPr>
              <w:t xml:space="preserve">Alternative</w:t>
            </w:r>
          </w:p>
        </w:tc>
        <w:tc>
          <w:tcPr>
            <w:tcW w:type="dxa" w:w="2200"/>
            <w:shd w:fill="D9E2F3" w:color="auto" w:val="clear"/>
            <w:tcMar>
              <w:top w:type="dxa" w:w="80"/>
              <w:left w:type="dxa" w:w="100"/>
              <w:bottom w:type="dxa" w:w="80"/>
              <w:right w:type="dxa" w:w="100"/>
            </w:tcMar>
          </w:tcPr>
          <w:p>
            <w:r>
              <w:rPr>
                <w:b/>
                <w:bCs/>
              </w:rPr>
              <w:t xml:space="preserve">Considered For</w:t>
            </w:r>
          </w:p>
        </w:tc>
        <w:tc>
          <w:tcPr>
            <w:tcW w:type="dxa" w:w="4200"/>
            <w:shd w:fill="D9E2F3" w:color="auto" w:val="clear"/>
            <w:tcMar>
              <w:top w:type="dxa" w:w="80"/>
              <w:left w:type="dxa" w:w="100"/>
              <w:bottom w:type="dxa" w:w="80"/>
              <w:right w:type="dxa" w:w="100"/>
            </w:tcMar>
          </w:tcPr>
          <w:p>
            <w:r>
              <w:rPr>
                <w:b/>
                <w:bCs/>
              </w:rPr>
              <w:t xml:space="preserve">Why Rejected</w:t>
            </w:r>
          </w:p>
        </w:tc>
      </w:tr>
      <w:tr>
        <w:tc>
          <w:tcPr>
            <w:tcW w:type="dxa" w:w="2800"/>
            <w:tcMar>
              <w:top w:type="dxa" w:w="80"/>
              <w:left w:type="dxa" w:w="100"/>
              <w:bottom w:type="dxa" w:w="80"/>
              <w:right w:type="dxa" w:w="100"/>
            </w:tcMar>
          </w:tcPr>
          <w:p>
            <w:r>
              <w:rPr>
                <w:b w:val="false"/>
                <w:bCs w:val="false"/>
              </w:rPr>
              <w:t xml:space="preserve">Pinecone / Weaviate Cloud</w:t>
            </w:r>
          </w:p>
        </w:tc>
        <w:tc>
          <w:tcPr>
            <w:tcW w:type="dxa" w:w="2200"/>
            <w:tcMar>
              <w:top w:type="dxa" w:w="80"/>
              <w:left w:type="dxa" w:w="100"/>
              <w:bottom w:type="dxa" w:w="80"/>
              <w:right w:type="dxa" w:w="100"/>
            </w:tcMar>
          </w:tcPr>
          <w:p>
            <w:r>
              <w:rPr>
                <w:b w:val="false"/>
                <w:bCs w:val="false"/>
              </w:rPr>
              <w:t xml:space="preserve">Vector storage</w:t>
            </w:r>
          </w:p>
        </w:tc>
        <w:tc>
          <w:tcPr>
            <w:tcW w:type="dxa" w:w="4200"/>
            <w:tcMar>
              <w:top w:type="dxa" w:w="80"/>
              <w:left w:type="dxa" w:w="100"/>
              <w:bottom w:type="dxa" w:w="80"/>
              <w:right w:type="dxa" w:w="100"/>
            </w:tcMar>
          </w:tcPr>
          <w:p>
            <w:r>
              <w:rPr>
                <w:b w:val="false"/>
                <w:bCs w:val="false"/>
              </w:rPr>
              <w:t xml:space="preserve">Hosted, would send personal data off-machine; recurring cost</w:t>
            </w:r>
          </w:p>
        </w:tc>
      </w:tr>
      <w:tr>
        <w:tc>
          <w:tcPr>
            <w:tcW w:type="dxa" w:w="2800"/>
            <w:tcMar>
              <w:top w:type="dxa" w:w="80"/>
              <w:left w:type="dxa" w:w="100"/>
              <w:bottom w:type="dxa" w:w="80"/>
              <w:right w:type="dxa" w:w="100"/>
            </w:tcMar>
          </w:tcPr>
          <w:p>
            <w:r>
              <w:rPr>
                <w:b w:val="false"/>
                <w:bCs w:val="false"/>
              </w:rPr>
              <w:t xml:space="preserve">Hosted Neo4j (Aura)</w:t>
            </w:r>
          </w:p>
        </w:tc>
        <w:tc>
          <w:tcPr>
            <w:tcW w:type="dxa" w:w="2200"/>
            <w:tcMar>
              <w:top w:type="dxa" w:w="80"/>
              <w:left w:type="dxa" w:w="100"/>
              <w:bottom w:type="dxa" w:w="80"/>
              <w:right w:type="dxa" w:w="100"/>
            </w:tcMar>
          </w:tcPr>
          <w:p>
            <w:r>
              <w:rPr>
                <w:b w:val="false"/>
                <w:bCs w:val="false"/>
              </w:rPr>
              <w:t xml:space="preserve">Graph storage</w:t>
            </w:r>
          </w:p>
        </w:tc>
        <w:tc>
          <w:tcPr>
            <w:tcW w:type="dxa" w:w="4200"/>
            <w:tcMar>
              <w:top w:type="dxa" w:w="80"/>
              <w:left w:type="dxa" w:w="100"/>
              <w:bottom w:type="dxa" w:w="80"/>
              <w:right w:type="dxa" w:w="100"/>
            </w:tcMar>
          </w:tcPr>
          <w:p>
            <w:r>
              <w:rPr>
                <w:b w:val="false"/>
                <w:bCs w:val="false"/>
              </w:rPr>
              <w:t xml:space="preserve">Recurring cost; local Community Edition is free and sufficient at personal scale</w:t>
            </w:r>
          </w:p>
        </w:tc>
      </w:tr>
      <w:tr>
        <w:tc>
          <w:tcPr>
            <w:tcW w:type="dxa" w:w="2800"/>
            <w:tcMar>
              <w:top w:type="dxa" w:w="80"/>
              <w:left w:type="dxa" w:w="100"/>
              <w:bottom w:type="dxa" w:w="80"/>
              <w:right w:type="dxa" w:w="100"/>
            </w:tcMar>
          </w:tcPr>
          <w:p>
            <w:r>
              <w:rPr>
                <w:b w:val="false"/>
                <w:bCs w:val="false"/>
              </w:rPr>
              <w:t xml:space="preserve">PostgreSQL</w:t>
            </w:r>
          </w:p>
        </w:tc>
        <w:tc>
          <w:tcPr>
            <w:tcW w:type="dxa" w:w="2200"/>
            <w:tcMar>
              <w:top w:type="dxa" w:w="80"/>
              <w:left w:type="dxa" w:w="100"/>
              <w:bottom w:type="dxa" w:w="80"/>
              <w:right w:type="dxa" w:w="100"/>
            </w:tcMar>
          </w:tcPr>
          <w:p>
            <w:r>
              <w:rPr>
                <w:b w:val="false"/>
                <w:bCs w:val="false"/>
              </w:rPr>
              <w:t xml:space="preserve">Relational storage</w:t>
            </w:r>
          </w:p>
        </w:tc>
        <w:tc>
          <w:tcPr>
            <w:tcW w:type="dxa" w:w="4200"/>
            <w:tcMar>
              <w:top w:type="dxa" w:w="80"/>
              <w:left w:type="dxa" w:w="100"/>
              <w:bottom w:type="dxa" w:w="80"/>
              <w:right w:type="dxa" w:w="100"/>
            </w:tcMar>
          </w:tcPr>
          <w:p>
            <w:r>
              <w:rPr>
                <w:b w:val="false"/>
                <w:bCs w:val="false"/>
              </w:rPr>
              <w:t xml:space="preserve">Requires a running server process; unnecessary overhead for a single-user local system</w:t>
            </w:r>
          </w:p>
        </w:tc>
      </w:tr>
      <w:tr>
        <w:tc>
          <w:tcPr>
            <w:tcW w:type="dxa" w:w="2800"/>
            <w:tcMar>
              <w:top w:type="dxa" w:w="80"/>
              <w:left w:type="dxa" w:w="100"/>
              <w:bottom w:type="dxa" w:w="80"/>
              <w:right w:type="dxa" w:w="100"/>
            </w:tcMar>
          </w:tcPr>
          <w:p>
            <w:r>
              <w:rPr>
                <w:b w:val="false"/>
                <w:bCs w:val="false"/>
              </w:rPr>
              <w:t xml:space="preserve">OpenAI/Voyage embeddings API</w:t>
            </w:r>
          </w:p>
        </w:tc>
        <w:tc>
          <w:tcPr>
            <w:tcW w:type="dxa" w:w="2200"/>
            <w:tcMar>
              <w:top w:type="dxa" w:w="80"/>
              <w:left w:type="dxa" w:w="100"/>
              <w:bottom w:type="dxa" w:w="80"/>
              <w:right w:type="dxa" w:w="100"/>
            </w:tcMar>
          </w:tcPr>
          <w:p>
            <w:r>
              <w:rPr>
                <w:b w:val="false"/>
                <w:bCs w:val="false"/>
              </w:rPr>
              <w:t xml:space="preserve">Embeddings</w:t>
            </w:r>
          </w:p>
        </w:tc>
        <w:tc>
          <w:tcPr>
            <w:tcW w:type="dxa" w:w="4200"/>
            <w:tcMar>
              <w:top w:type="dxa" w:w="80"/>
              <w:left w:type="dxa" w:w="100"/>
              <w:bottom w:type="dxa" w:w="80"/>
              <w:right w:type="dxa" w:w="100"/>
            </w:tcMar>
          </w:tcPr>
          <w:p>
            <w:r>
              <w:rPr>
                <w:b w:val="false"/>
                <w:bCs w:val="false"/>
              </w:rPr>
              <w:t xml:space="preserve">Recurring per-call cost for a task that a free local model handles well</w:t>
            </w:r>
          </w:p>
        </w:tc>
      </w:tr>
      <w:tr>
        <w:tc>
          <w:tcPr>
            <w:tcW w:type="dxa" w:w="2800"/>
            <w:tcMar>
              <w:top w:type="dxa" w:w="80"/>
              <w:left w:type="dxa" w:w="100"/>
              <w:bottom w:type="dxa" w:w="80"/>
              <w:right w:type="dxa" w:w="100"/>
            </w:tcMar>
          </w:tcPr>
          <w:p>
            <w:r>
              <w:rPr>
                <w:b w:val="false"/>
                <w:bCs w:val="false"/>
              </w:rPr>
              <w:t xml:space="preserve">Single hardcoded provider (Claude API only)</w:t>
            </w:r>
          </w:p>
        </w:tc>
        <w:tc>
          <w:tcPr>
            <w:tcW w:type="dxa" w:w="2200"/>
            <w:tcMar>
              <w:top w:type="dxa" w:w="80"/>
              <w:left w:type="dxa" w:w="100"/>
              <w:bottom w:type="dxa" w:w="80"/>
              <w:right w:type="dxa" w:w="100"/>
            </w:tcMar>
          </w:tcPr>
          <w:p>
            <w:r>
              <w:rPr>
                <w:b w:val="false"/>
                <w:bCs w:val="false"/>
              </w:rPr>
              <w:t xml:space="preserve">LLM access</w:t>
            </w:r>
          </w:p>
        </w:tc>
        <w:tc>
          <w:tcPr>
            <w:tcW w:type="dxa" w:w="4200"/>
            <w:tcMar>
              <w:top w:type="dxa" w:w="80"/>
              <w:left w:type="dxa" w:w="100"/>
              <w:bottom w:type="dxa" w:w="80"/>
              <w:right w:type="dxa" w:w="100"/>
            </w:tcMar>
          </w:tcPr>
          <w:p>
            <w:r>
              <w:rPr>
                <w:b w:val="false"/>
                <w:bCs w:val="false"/>
              </w:rPr>
              <w:t xml:space="preserve">Vendor lock-in; pricing/quality volatility; no local-only option for users without a paid API budget</w:t>
            </w:r>
          </w:p>
        </w:tc>
      </w:tr>
      <w:tr>
        <w:tc>
          <w:tcPr>
            <w:tcW w:type="dxa" w:w="2800"/>
            <w:tcMar>
              <w:top w:type="dxa" w:w="80"/>
              <w:left w:type="dxa" w:w="100"/>
              <w:bottom w:type="dxa" w:w="80"/>
              <w:right w:type="dxa" w:w="100"/>
            </w:tcMar>
          </w:tcPr>
          <w:p>
            <w:r>
              <w:rPr>
                <w:b w:val="false"/>
                <w:bCs w:val="false"/>
              </w:rPr>
              <w:t xml:space="preserve">Plain HTML/JS frontend</w:t>
            </w:r>
          </w:p>
        </w:tc>
        <w:tc>
          <w:tcPr>
            <w:tcW w:type="dxa" w:w="2200"/>
            <w:tcMar>
              <w:top w:type="dxa" w:w="80"/>
              <w:left w:type="dxa" w:w="100"/>
              <w:bottom w:type="dxa" w:w="80"/>
              <w:right w:type="dxa" w:w="100"/>
            </w:tcMar>
          </w:tcPr>
          <w:p>
            <w:r>
              <w:rPr>
                <w:b w:val="false"/>
                <w:bCs w:val="false"/>
              </w:rPr>
              <w:t xml:space="preserve">Interface</w:t>
            </w:r>
          </w:p>
        </w:tc>
        <w:tc>
          <w:tcPr>
            <w:tcW w:type="dxa" w:w="4200"/>
            <w:tcMar>
              <w:top w:type="dxa" w:w="80"/>
              <w:left w:type="dxa" w:w="100"/>
              <w:bottom w:type="dxa" w:w="80"/>
              <w:right w:type="dxa" w:w="100"/>
            </w:tcMar>
          </w:tcPr>
          <w:p>
            <w:r>
              <w:rPr>
                <w:b w:val="false"/>
                <w:bCs w:val="false"/>
              </w:rPr>
              <w:t xml:space="preserve">Felt less like a product worth returning to daily; harder to extend with session history and source chips</w:t>
            </w:r>
          </w:p>
        </w:tc>
      </w:tr>
      <w:tr>
        <w:tc>
          <w:tcPr>
            <w:tcW w:type="dxa" w:w="2800"/>
            <w:tcMar>
              <w:top w:type="dxa" w:w="80"/>
              <w:left w:type="dxa" w:w="100"/>
              <w:bottom w:type="dxa" w:w="80"/>
              <w:right w:type="dxa" w:w="100"/>
            </w:tcMar>
          </w:tcPr>
          <w:p>
            <w:r>
              <w:rPr>
                <w:b w:val="false"/>
                <w:bCs w:val="false"/>
              </w:rPr>
              <w:t xml:space="preserve">Elasticsearch</w:t>
            </w:r>
          </w:p>
        </w:tc>
        <w:tc>
          <w:tcPr>
            <w:tcW w:type="dxa" w:w="2200"/>
            <w:tcMar>
              <w:top w:type="dxa" w:w="80"/>
              <w:left w:type="dxa" w:w="100"/>
              <w:bottom w:type="dxa" w:w="80"/>
              <w:right w:type="dxa" w:w="100"/>
            </w:tcMar>
          </w:tcPr>
          <w:p>
            <w:r>
              <w:rPr>
                <w:b w:val="false"/>
                <w:bCs w:val="false"/>
              </w:rPr>
              <w:t xml:space="preserve">Keyword search</w:t>
            </w:r>
          </w:p>
        </w:tc>
        <w:tc>
          <w:tcPr>
            <w:tcW w:type="dxa" w:w="4200"/>
            <w:tcMar>
              <w:top w:type="dxa" w:w="80"/>
              <w:left w:type="dxa" w:w="100"/>
              <w:bottom w:type="dxa" w:w="80"/>
              <w:right w:type="dxa" w:w="100"/>
            </w:tcMar>
          </w:tcPr>
          <w:p>
            <w:r>
              <w:rPr>
                <w:b w:val="false"/>
                <w:bCs w:val="false"/>
              </w:rPr>
              <w:t xml:space="preserve">Requires a separate always-running service; SQLite FTS5 is sufficient at personal data volume</w:t>
            </w:r>
          </w:p>
        </w:tc>
      </w:tr>
      <w:tr>
        <w:tc>
          <w:tcPr>
            <w:tcW w:type="dxa" w:w="2800"/>
            <w:tcMar>
              <w:top w:type="dxa" w:w="80"/>
              <w:left w:type="dxa" w:w="100"/>
              <w:bottom w:type="dxa" w:w="80"/>
              <w:right w:type="dxa" w:w="100"/>
            </w:tcMar>
          </w:tcPr>
          <w:p>
            <w:r>
              <w:rPr>
                <w:b w:val="false"/>
                <w:bCs w:val="false"/>
              </w:rPr>
              <w:t xml:space="preserve">n8n for scheduling/orchestration</w:t>
            </w:r>
          </w:p>
        </w:tc>
        <w:tc>
          <w:tcPr>
            <w:tcW w:type="dxa" w:w="2200"/>
            <w:tcMar>
              <w:top w:type="dxa" w:w="80"/>
              <w:left w:type="dxa" w:w="100"/>
              <w:bottom w:type="dxa" w:w="80"/>
              <w:right w:type="dxa" w:w="100"/>
            </w:tcMar>
          </w:tcPr>
          <w:p>
            <w:r>
              <w:rPr>
                <w:b w:val="false"/>
                <w:bCs w:val="false"/>
              </w:rPr>
              <w:t xml:space="preserve">Ingestion scheduling</w:t>
            </w:r>
          </w:p>
        </w:tc>
        <w:tc>
          <w:tcPr>
            <w:tcW w:type="dxa" w:w="4200"/>
            <w:tcMar>
              <w:top w:type="dxa" w:w="80"/>
              <w:left w:type="dxa" w:w="100"/>
              <w:bottom w:type="dxa" w:w="80"/>
              <w:right w:type="dxa" w:w="100"/>
            </w:tcMar>
          </w:tcPr>
          <w:p>
            <w:r>
              <w:rPr>
                <w:b w:val="false"/>
                <w:bCs w:val="false"/>
              </w:rPr>
              <w:t xml:space="preserve">User has moved away from n8n; native OS scheduler plus Python scripts preferred</w:t>
            </w:r>
          </w:p>
        </w:tc>
      </w:tr>
      <w:tr>
        <w:tc>
          <w:tcPr>
            <w:tcW w:type="dxa" w:w="2800"/>
            <w:tcMar>
              <w:top w:type="dxa" w:w="80"/>
              <w:left w:type="dxa" w:w="100"/>
              <w:bottom w:type="dxa" w:w="80"/>
              <w:right w:type="dxa" w:w="100"/>
            </w:tcMar>
          </w:tcPr>
          <w:p>
            <w:r>
              <w:rPr>
                <w:b w:val="false"/>
                <w:bCs w:val="false"/>
              </w:rPr>
              <w:t xml:space="preserve">pip + venv, Poetry, Pipenv</w:t>
            </w:r>
          </w:p>
        </w:tc>
        <w:tc>
          <w:tcPr>
            <w:tcW w:type="dxa" w:w="2200"/>
            <w:tcMar>
              <w:top w:type="dxa" w:w="80"/>
              <w:left w:type="dxa" w:w="100"/>
              <w:bottom w:type="dxa" w:w="80"/>
              <w:right w:type="dxa" w:w="100"/>
            </w:tcMar>
          </w:tcPr>
          <w:p>
            <w:r>
              <w:rPr>
                <w:b w:val="false"/>
                <w:bCs w:val="false"/>
              </w:rPr>
              <w:t xml:space="preserve">Python package management</w:t>
            </w:r>
          </w:p>
        </w:tc>
        <w:tc>
          <w:tcPr>
            <w:tcW w:type="dxa" w:w="4200"/>
            <w:tcMar>
              <w:top w:type="dxa" w:w="80"/>
              <w:left w:type="dxa" w:w="100"/>
              <w:bottom w:type="dxa" w:w="80"/>
              <w:right w:type="dxa" w:w="100"/>
            </w:tcMar>
          </w:tcPr>
          <w:p>
            <w:r>
              <w:rPr>
                <w:b w:val="false"/>
                <w:bCs w:val="false"/>
              </w:rPr>
              <w:t xml:space="preserve">Slower dependency resolution; separate tools for env creation and dependency management; uv covers both faster in a single tool with one lockfile</w:t>
            </w:r>
          </w:p>
        </w:tc>
      </w:tr>
    </w:tbl>
    <w:p>
      <w:pPr>
        <w:spacing w:after="200"/>
      </w:pPr>
    </w:p>
    <w:p>
      <w:pPr>
        <w:spacing w:before="300"/>
      </w:pPr>
      <w:r>
        <w:rPr>
          <w:i/>
          <w:iCs/>
          <w:color w:val="777777"/>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2026-08-14T17:25:06.367Z</dcterms:created>
  <dcterms:modified xsi:type="dcterms:W3CDTF">2026-08-14T17:25:06.367Z</dcterms:modified>
</cp:coreProperties>
</file>

<file path=docProps/custom.xml><?xml version="1.0" encoding="utf-8"?>
<Properties xmlns="http://schemas.openxmlformats.org/officeDocument/2006/custom-properties" xmlns:vt="http://schemas.openxmlformats.org/officeDocument/2006/docPropsVTypes"/>
</file>