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56"/>
          <w:szCs w:val="56"/>
        </w:rPr>
        <w:t xml:space="preserve">Personal Knowledge Graph Agent</w:t>
      </w:r>
    </w:p>
    <w:p>
      <w:pPr>
        <w:spacing w:after="100"/>
      </w:pPr>
      <w:r>
        <w:rPr>
          <w:color w:val="555555"/>
          <w:sz w:val="32"/>
          <w:szCs w:val="32"/>
        </w:rPr>
        <w:t xml:space="preserve">UI/UX Wireframe Document</w:t>
      </w:r>
    </w:p>
    <w:p>
      <w:pPr>
        <w:spacing w:after="60"/>
      </w:pPr>
      <w:r>
        <w:rPr>
          <w:i/>
          <w:iCs/>
          <w:sz w:val="24"/>
          <w:szCs w:val="24"/>
        </w:rPr>
        <w:t xml:space="preserve">Prepared for: Shivam Shinde</w:t>
      </w:r>
    </w:p>
    <w:p>
      <w:pPr>
        <w:spacing w:after="60"/>
      </w:pPr>
      <w:r>
        <w:rPr>
          <w:i/>
          <w:iCs/>
          <w:sz w:val="24"/>
          <w:szCs w:val="24"/>
        </w:rPr>
        <w:t xml:space="preserve">Companion to: System Architecture Document</w:t>
      </w:r>
    </w:p>
    <w:p>
      <w:pPr>
        <w:spacing w:after="700"/>
      </w:pPr>
    </w:p>
    <w:p>
      <w:pPr>
        <w:pStyle w:val="Heading1"/>
        <w:spacing w:after="200" w:before="400"/>
      </w:pPr>
      <w:r>
        <w:t xml:space="preserve">1. Design Principles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Chat-first interface: the primary interaction is a natural-language question and a synthesized, cited answer, not a search-results list.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Source transparency: every answer shows which sources it drew from as clickable chips, so the user can verify or jump to the original item.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Minimal chrome: no unnecessary navigation, dashboards, or settings exposed by default; settings live behind a single link.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Session continuity: prior conversations are listed and reopenable, supporting the multi-turn, follow-up-question use case.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Local-first framing: the interface makes no assumptions about cloud sync or multi-device access, consistent with the fully local architecture.</w:t>
      </w:r>
    </w:p>
    <w:p>
      <w:pPr>
        <w:pStyle w:val="Heading1"/>
        <w:spacing w:after="200" w:before="400"/>
      </w:pPr>
      <w:r>
        <w:t xml:space="preserve">2. Screen 1: Main Chat Window</w:t>
      </w:r>
    </w:p>
    <w:p>
      <w:pPr>
        <w:spacing w:after="160"/>
      </w:pPr>
      <w:r>
        <w:t xml:space="preserve">This is the default screen at localhost:8080. It contains a session sidebar on the left and the active conversation on the right, with an input box pinned to the bottom.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1: Main chat window wireframe</w:t>
      </w:r>
    </w:p>
    <w:p>
      <w:pPr>
        <w:pStyle w:val="Heading2"/>
        <w:spacing w:after="150" w:before="300"/>
      </w:pPr>
      <w:r>
        <w:t xml:space="preserve">2.1 Element inventory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6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Behavior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Session sidebar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Lists past conversations by auto-generated title; clicking one reloads that session's history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New chat button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Starts a fresh session with empty LangGraph state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Settings link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Navigates to the Settings screen (Screen 2)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 message bubble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Right-aligned, shows the question as typed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response bubble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Left-aligned, shows the synthesized answer text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Source chips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One chip per cited source; clicking opens the original Notion page, email, commit, or file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Input box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Free text entry; Enter or Send button submits the question to /api/query</w:t>
            </w:r>
          </w:p>
        </w:tc>
      </w:tr>
    </w:tbl>
    <w:p>
      <w:pPr>
        <w:pStyle w:val="Heading1"/>
        <w:spacing w:after="200" w:before="400"/>
      </w:pPr>
      <w:r>
        <w:t xml:space="preserve">3. Screen 2: Settings / Provider Configuration</w:t>
      </w:r>
    </w:p>
    <w:p>
      <w:pPr>
        <w:spacing w:after="160"/>
      </w:pPr>
      <w:r>
        <w:t xml:space="preserve">Accessible via the Settings link in the header. Lets the user choose the LLM provider mode and confirm which data sources are connected.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2: Settings screen wireframe</w:t>
      </w:r>
    </w:p>
    <w:p>
      <w:pPr>
        <w:pStyle w:val="Heading2"/>
        <w:spacing w:after="150" w:before="300"/>
      </w:pPr>
      <w:r>
        <w:t xml:space="preserve">3.1 Element inventory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6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Behavior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 Provider radio group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Selects Fully Local, Fully Cloud (OpenRouter), or Mixed; each option shows a one-line explanation of cost/quality trade-off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 dropdown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Only enabled when Fully Cloud or Mixed is selected; lists OpenRouter-supported models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Connected Data Sources grid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Read-only status indicators (OK / not connected) for each of the six sources, reflecting the most recent batch run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Save Changes button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Persists provider configuration to the local config file; takes effect on the next agent run</w:t>
            </w:r>
          </w:p>
        </w:tc>
      </w:tr>
    </w:tbl>
    <w:p>
      <w:pPr>
        <w:pStyle w:val="Heading1"/>
        <w:spacing w:after="200" w:before="400"/>
      </w:pPr>
      <w:r>
        <w:t xml:space="preserve">4. Interaction 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User opens localhost:8080, sees the main chat window (Screen 1), either continuing the most recent session or starting a new 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User types a question and submits; the FastAPI backend routes it to the LangGraph agent (see System Architecture Document, Section 5).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The response streams into the chat as an agent bubble, followed by source chips for every cited item.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Clicking a source chip opens the original item in a new browser tab (Notion page, Gmail thread, GitHub commit/PR, or local file).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User can follow up with another question in the same session; LangGraph state carries prior context.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If the user wants to change how the agent is powered, they navigate to Settings, adjust the LLM Provider mode, and save.</w:t>
      </w:r>
    </w:p>
    <w:p>
      <w:pPr>
        <w:pStyle w:val="Heading1"/>
        <w:spacing w:after="200" w:before="400"/>
      </w:pPr>
      <w:r>
        <w:t xml:space="preserve">5. States Not Yet Wireframed (Future Screens)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Ingestion status / last batch run detail view (per-source item counts, errors).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Relationship graph visual explorer (browsing Neo4j connections visually rather than only through chat).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Evaluation dashboard showing LangSmith Recall@K and faithfulness scores over time.</w:t>
      </w:r>
    </w:p>
    <w:p>
      <w:pPr>
        <w:spacing w:after="160"/>
      </w:pPr>
      <w:r>
        <w:t xml:space="preserve">These are explicitly out of scope for the V1 interface per the Product Requirements Document, and are noted here only as known future extension points.</w:t>
      </w:r>
    </w:p>
    <w:p>
      <w:pPr>
        <w:spacing w:after="200"/>
      </w:pPr>
    </w:p>
    <w:p>
      <w:pPr>
        <w:spacing w:before="300"/>
      </w:pPr>
      <w:r>
        <w:rPr>
          <w:i/>
          <w:iCs/>
          <w:color w:val="777777"/>
        </w:rPr>
        <w:t xml:space="preserve">End of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ac3d6417af24379ad4764adcc07133839ef48b5.png"/><Relationship Id="rId8" Type="http://schemas.openxmlformats.org/officeDocument/2006/relationships/image" Target="media/9eeba6db9247507a77c2ec15890b34eae2d387e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2026-08-14T16:23:40.705Z</dcterms:created>
  <dcterms:modified xsi:type="dcterms:W3CDTF">2026-08-14T16:23:40.705Z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