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 Document</w:t>
      </w:r>
    </w:p>
    <w:p>
      <w:r>
        <w:rPr>
          <w:i/>
        </w:rPr>
        <w:t>Personal Knowledge Graph Agent</w:t>
      </w:r>
    </w:p>
    <w:p>
      <w:r>
        <w:t>Last refreshed 2026-09-03 to match the current implementation. See DECISIONS.md and FLOW.md in the repo root for the detailed, continuously-updated record of implementation decisions and runtime call chains -- this document gives the higher-level picture.</w:t>
      </w:r>
    </w:p>
    <w:p>
      <w:pPr>
        <w:pStyle w:val="Heading1"/>
      </w:pPr>
      <w:r>
        <w:t>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</w:tr>
      <w:tr>
        <w:tc>
          <w:tcPr>
            <w:tcW w:type="dxa" w:w="2880"/>
          </w:tcPr>
          <w:p>
            <w:r>
              <w:t>Data Sources</w:t>
            </w:r>
          </w:p>
        </w:tc>
        <w:tc>
          <w:tcPr>
            <w:tcW w:type="dxa" w:w="2880"/>
          </w:tcPr>
          <w:p>
            <w:r>
              <w:t>Notion, Gmail, GitHub, Google Calendar, filesystem, browser</w:t>
            </w:r>
          </w:p>
        </w:tc>
        <w:tc>
          <w:tcPr>
            <w:tcW w:type="dxa" w:w="2880"/>
          </w:tcPr>
          <w:p>
            <w:r>
              <w:t>(external)</w:t>
            </w:r>
          </w:p>
        </w:tc>
      </w:tr>
      <w:tr>
        <w:tc>
          <w:tcPr>
            <w:tcW w:type="dxa" w:w="2880"/>
          </w:tcPr>
          <w:p>
            <w:r>
              <w:t>Ingestion</w:t>
            </w:r>
          </w:p>
        </w:tc>
        <w:tc>
          <w:tcPr>
            <w:tcW w:type="dxa" w:w="2880"/>
          </w:tcPr>
          <w:p>
            <w:r>
              <w:t>Extraction, noise filtering, chunking, metadata, embeddings</w:t>
            </w:r>
          </w:p>
        </w:tc>
        <w:tc>
          <w:tcPr>
            <w:tcW w:type="dxa" w:w="2880"/>
          </w:tcPr>
          <w:p>
            <w:r>
              <w:t>extractors/, pipeline/</w:t>
            </w:r>
          </w:p>
        </w:tc>
      </w:tr>
      <w:tr>
        <w:tc>
          <w:tcPr>
            <w:tcW w:type="dxa" w:w="2880"/>
          </w:tcPr>
          <w:p>
            <w:r>
              <w:t>Understanding &amp; Storage</w:t>
            </w:r>
          </w:p>
        </w:tc>
        <w:tc>
          <w:tcPr>
            <w:tcW w:type="dxa" w:w="2880"/>
          </w:tcPr>
          <w:p>
            <w:r>
              <w:t>SQLite + FTS5, Chroma (embedded), Neo4j Community Edition</w:t>
            </w:r>
          </w:p>
        </w:tc>
        <w:tc>
          <w:tcPr>
            <w:tcW w:type="dxa" w:w="2880"/>
          </w:tcPr>
          <w:p>
            <w:r>
              <w:t>storage/</w:t>
            </w:r>
          </w:p>
        </w:tc>
      </w:tr>
      <w:tr>
        <w:tc>
          <w:tcPr>
            <w:tcW w:type="dxa" w:w="2880"/>
          </w:tcPr>
          <w:p>
            <w:r>
              <w:t>Query &amp; Reasoning</w:t>
            </w:r>
          </w:p>
        </w:tc>
        <w:tc>
          <w:tcPr>
            <w:tcW w:type="dxa" w:w="2880"/>
          </w:tcPr>
          <w:p>
            <w:r>
              <w:t>LangGraph: Router -&gt; Search nodes -&gt; Merger -&gt; Synthesizer</w:t>
            </w:r>
          </w:p>
        </w:tc>
        <w:tc>
          <w:tcPr>
            <w:tcW w:type="dxa" w:w="2880"/>
          </w:tcPr>
          <w:p>
            <w:r>
              <w:t>agent/</w:t>
            </w:r>
          </w:p>
        </w:tc>
      </w:tr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FastAPI backend + React chat/graph/settings/setup-wizard UI</w:t>
            </w:r>
          </w:p>
        </w:tc>
        <w:tc>
          <w:tcPr>
            <w:tcW w:type="dxa" w:w="2880"/>
          </w:tcPr>
          <w:p>
            <w:r>
              <w:t>api/, frontend/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LangSmith tracing, datasets, evaluators</w:t>
            </w:r>
          </w:p>
        </w:tc>
        <w:tc>
          <w:tcPr>
            <w:tcW w:type="dxa" w:w="2880"/>
          </w:tcPr>
          <w:p>
            <w:r>
              <w:t>eval/</w:t>
            </w:r>
          </w:p>
        </w:tc>
      </w:tr>
    </w:tbl>
    <w:p/>
    <w:p>
      <w:r>
        <w:t>Dependency direction is one-way: Extractors -&gt; Pipeline -&gt; Storage. Agent depends on Storage + Providers only, never on Extractors or Pipeline. Interface depends only on Agent's entrypoint. See Component_Map.docx for the full rule set.</w:t>
      </w:r>
    </w:p>
    <w:p>
      <w:pPr>
        <w:pStyle w:val="Heading1"/>
      </w:pPr>
      <w:r>
        <w:t>Data Flow -- Ingestion</w:t>
      </w:r>
    </w:p>
    <w:p>
      <w:pPr>
        <w:pStyle w:val="ListBullet"/>
      </w:pPr>
      <w:r>
        <w:t>scheduler/daily_batch.py (manual dev: registered with OS cron/Task Scheduler; Docker: run by scheduler/loop.py's own polling loop, a supervised sidecar container) triggers once daily, or on demand via POST /api/ingest/trigger.</w:t>
      </w:r>
    </w:p>
    <w:p>
      <w:pPr>
        <w:pStyle w:val="ListBullet"/>
      </w:pPr>
      <w:r>
        <w:t>Each of the six extractors normalizes what it pulls into a common item shape, applies source-specific noise filtering, then hands surviving items to the shared pipeline: chunking -&gt; batched metadata generation -&gt; embedding.</w:t>
      </w:r>
    </w:p>
    <w:p>
      <w:pPr>
        <w:pStyle w:val="ListBullet"/>
      </w:pPr>
      <w:r>
        <w:t>Raw text/metadata land in SQLite; chunk vectors land in Chroma; after storage, relationship detection runs per new item (vector-similarity candidate narrowing, then LLM confirmation) and confirmed edges land in Neo4j.</w:t>
      </w:r>
    </w:p>
    <w:p>
      <w:pPr>
        <w:pStyle w:val="ListBullet"/>
      </w:pPr>
      <w:r>
        <w:t>Progress and cancellation are round-tripped through SQLite's ingestion_runs table (current_item, cancel_requested) since the API process and the batch process are separate processes sharing only the database file.</w:t>
      </w:r>
    </w:p>
    <w:p>
      <w:pPr>
        <w:pStyle w:val="Heading1"/>
      </w:pPr>
      <w:r>
        <w:t>Data Flow -- Query</w:t>
      </w:r>
    </w:p>
    <w:p>
      <w:pPr>
        <w:pStyle w:val="ListBullet"/>
      </w:pPr>
      <w:r>
        <w:t>POST /api/query -&gt; agent/graph.py's LangGraph run() -&gt; Router decides which of VectorSearch/KeywordSearch/GraphTraversal to invoke based on the question -&gt; Merger applies Reciprocal Rank Fusion -&gt; Synthesizer fetches full text for top results from SQLite and calls the active LLM provider for a cited answer.</w:t>
      </w:r>
    </w:p>
    <w:p>
      <w:pPr>
        <w:pStyle w:val="Heading1"/>
      </w:pPr>
      <w:r>
        <w:t>Deployment Model</w:t>
      </w:r>
    </w:p>
    <w:p>
      <w:pPr>
        <w:pStyle w:val="ListBullet"/>
      </w:pPr>
      <w:r>
        <w:t>Manual dev: uv-managed Python backend + npm-managed React dev server + a locally installed Neo4j Community Edition (+ Ollama if running Local mode). Ingestion scheduled via the OS's own cron/Task Scheduler.</w:t>
      </w:r>
    </w:p>
    <w:p>
      <w:pPr>
        <w:pStyle w:val="ListBullet"/>
      </w:pPr>
      <w:r>
        <w:t>Docker Compose (recommended): one command (docker compose up -d --build) brings up backend, scheduler sidecar, frontend, and Neo4j (+ Ollama under the local-llm profile) as a persistent stack. SQLite/Chroma's data lives in a real, inspectable host folder (HOST_STORAGE_DIR, default ./docker/storage) rather than a hidden named volume; Neo4j/Ollama use named volumes. config/.env is bind-mounted read-write so runtime writes from Settings/the guided setup wizard land on the real host file.</w:t>
      </w:r>
    </w:p>
    <w:p>
      <w:pPr>
        <w:pStyle w:val="ListBullet"/>
      </w:pPr>
      <w:r>
        <w:t>No Docker Hub distribution -- GitHub-only, a deliberate choice given this is primarily a portfolio project and the app ingests highly personal data (see Technical Design Document).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Single-user, local-only, no authentication layer -- by design, not an oversight.</w:t>
      </w:r>
    </w:p>
    <w:p>
      <w:pPr>
        <w:pStyle w:val="ListBullet"/>
      </w:pPr>
      <w:r>
        <w:t>One source failing ingestion never blocks or crashes the other five.</w:t>
      </w:r>
    </w:p>
    <w:p>
      <w:pPr>
        <w:pStyle w:val="ListBullet"/>
      </w:pPr>
      <w:r>
        <w:t>A long-running ingestion batch never blocks or takes down the API process (separate process/container).</w:t>
      </w:r>
    </w:p>
    <w:p>
      <w:pPr>
        <w:pStyle w:val="ListBullet"/>
      </w:pPr>
      <w:r>
        <w:t>Every runtime setting (credentials, OAuth tokens, source scope) must survive a container restart -- persisted to the real host filesystem, not container-ephemeral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