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Coding Conventions</w:t>
      </w:r>
    </w:p>
    <w:p>
      <w:pPr>
        <w:pStyle w:val="Subtitle"/>
      </w:pPr>
      <w:r>
        <w:rPr>
          <w:rFonts w:ascii="Aptos" w:hAnsi="Aptos"/>
          <w:color w:val="4D4D4D"/>
          <w:sz w:val="30"/>
        </w:rPr>
        <w:t>autorag-tuner Python package</w:t>
      </w:r>
    </w:p>
    <w:p>
      <w:r>
        <w:t>Implementation rules for readable, typed, testable, asynchronous, and extensible package code.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Core maintainers and external contributors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These conventions keep the optimization engine predictable under concurrency, partial failure, optional dependencies, and third-party adapters. They favor explicit typed boundaries, small orchestration units, immutable public models, structured errors, and tests that verify state transitions rather than implementation details.</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API Specification for public contracts</w:t>
      </w:r>
    </w:p>
    <w:p>
      <w:pPr>
        <w:pStyle w:val="ListBullet"/>
      </w:pPr>
      <w:r>
        <w:t>Technical Design Document for internal lifecycle</w:t>
      </w:r>
    </w:p>
    <w:p>
      <w:pPr>
        <w:pStyle w:val="ListBullet"/>
      </w:pPr>
      <w:r>
        <w:t>File Folder Structure for ownership boundaries</w:t>
      </w:r>
    </w:p>
    <w:p>
      <w:pPr>
        <w:pStyle w:val="ListBullet"/>
      </w:pPr>
      <w:r>
        <w:t>Database Schema for transaction conventions</w:t>
      </w:r>
    </w:p>
    <w:p>
      <w:pPr>
        <w:pStyle w:val="Heading1"/>
      </w:pPr>
      <w:r>
        <w:t>Supported Python and tooling</w:t>
      </w:r>
    </w:p>
    <w:p>
      <w:r>
        <w:t xml:space="preserve">V0.1 targets CPython 3.10 through 3.13. The package uses </w:t>
      </w:r>
      <w:r>
        <w:rPr>
          <w:rFonts w:ascii="Cascadia Mono" w:hAnsi="Cascadia Mono"/>
          <w:sz w:val="18"/>
        </w:rPr>
        <w:t>pyproject.toml</w:t>
      </w:r>
      <w:r>
        <w:t xml:space="preserve"> as the single build and tool configuration source, </w:t>
      </w:r>
      <w:r>
        <w:rPr>
          <w:rFonts w:ascii="Cascadia Mono" w:hAnsi="Cascadia Mono"/>
          <w:sz w:val="18"/>
        </w:rPr>
        <w:t>src</w:t>
      </w:r>
      <w:r>
        <w:t xml:space="preserve"> layout packaging, Ruff for linting and formatting, mypy in strict mode for package code, and pytest with pytest-asyncio for tests. Public release wheels must be built with a PEP 517 backend and tested from the wheel, not only from the source checkout.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Concern</w:t>
            </w:r>
          </w:p>
        </w:tc>
        <w:tc>
          <w:tcPr>
            <w:tcW w:type="dxa" w:w="3331"/>
            <w:shd w:fill="17324D"/>
            <w:tcMar>
              <w:top w:w="115" w:type="dxa"/>
              <w:start w:w="120" w:type="dxa"/>
              <w:bottom w:w="115" w:type="dxa"/>
              <w:end w:w="120" w:type="dxa"/>
            </w:tcMar>
            <w:vAlign w:val="center"/>
          </w:tcPr>
          <w:p>
            <w:r>
              <w:rPr>
                <w:b/>
                <w:color w:val="FFFFFF"/>
                <w:sz w:val="18"/>
              </w:rPr>
              <w:t>Required choice</w:t>
            </w:r>
          </w:p>
        </w:tc>
        <w:tc>
          <w:tcPr>
            <w:tcW w:type="dxa" w:w="3331"/>
            <w:shd w:fill="17324D"/>
            <w:tcMar>
              <w:top w:w="115" w:type="dxa"/>
              <w:start w:w="120" w:type="dxa"/>
              <w:bottom w:w="115" w:type="dxa"/>
              <w:end w:w="120" w:type="dxa"/>
            </w:tcMar>
            <w:vAlign w:val="center"/>
          </w:tcPr>
          <w:p>
            <w:r>
              <w:rPr>
                <w:b/>
                <w:color w:val="FFFFFF"/>
                <w:sz w:val="18"/>
              </w:rPr>
              <w:t>Notes</w:t>
            </w:r>
          </w:p>
        </w:tc>
      </w:tr>
      <w:tr>
        <w:tc>
          <w:tcPr>
            <w:tcW w:type="dxa" w:w="3331"/>
            <w:tcMar>
              <w:top w:w="100" w:type="dxa"/>
              <w:start w:w="120" w:type="dxa"/>
              <w:bottom w:w="100" w:type="dxa"/>
              <w:end w:w="120" w:type="dxa"/>
            </w:tcMar>
            <w:vAlign w:val="center"/>
          </w:tcPr>
          <w:p>
            <w:pPr>
              <w:spacing w:after="0" w:line="240" w:lineRule="auto"/>
            </w:pPr>
            <w:r>
              <w:rPr>
                <w:sz w:val="17"/>
              </w:rPr>
              <w:t>Formatting and lint</w:t>
            </w:r>
          </w:p>
        </w:tc>
        <w:tc>
          <w:tcPr>
            <w:tcW w:type="dxa" w:w="3331"/>
            <w:tcMar>
              <w:top w:w="100" w:type="dxa"/>
              <w:start w:w="120" w:type="dxa"/>
              <w:bottom w:w="100" w:type="dxa"/>
              <w:end w:w="120" w:type="dxa"/>
            </w:tcMar>
            <w:vAlign w:val="center"/>
          </w:tcPr>
          <w:p>
            <w:pPr>
              <w:spacing w:after="0" w:line="240" w:lineRule="auto"/>
            </w:pPr>
            <w:r>
              <w:rPr>
                <w:sz w:val="17"/>
              </w:rPr>
              <w:t>Ruff</w:t>
            </w:r>
          </w:p>
        </w:tc>
        <w:tc>
          <w:tcPr>
            <w:tcW w:type="dxa" w:w="3331"/>
            <w:tcMar>
              <w:top w:w="100" w:type="dxa"/>
              <w:start w:w="120" w:type="dxa"/>
              <w:bottom w:w="100" w:type="dxa"/>
              <w:end w:w="120" w:type="dxa"/>
            </w:tcMar>
            <w:vAlign w:val="center"/>
          </w:tcPr>
          <w:p>
            <w:pPr>
              <w:spacing w:after="0" w:line="240" w:lineRule="auto"/>
            </w:pPr>
            <w:r>
              <w:rPr>
                <w:sz w:val="17"/>
              </w:rPr>
              <w:t>One configuration, no local style exceptions without rationale</w:t>
            </w:r>
          </w:p>
        </w:tc>
      </w:tr>
      <w:tr>
        <w:tc>
          <w:tcPr>
            <w:tcW w:type="dxa" w:w="3331"/>
            <w:tcMar>
              <w:top w:w="100" w:type="dxa"/>
              <w:start w:w="120" w:type="dxa"/>
              <w:bottom w:w="100" w:type="dxa"/>
              <w:end w:w="120" w:type="dxa"/>
            </w:tcMar>
            <w:vAlign w:val="center"/>
            <w:shd w:fill="F5F7F8"/>
          </w:tcPr>
          <w:p>
            <w:pPr>
              <w:spacing w:after="0" w:line="240" w:lineRule="auto"/>
            </w:pPr>
            <w:r>
              <w:rPr>
                <w:sz w:val="17"/>
              </w:rPr>
              <w:t>Static typing</w:t>
            </w:r>
          </w:p>
        </w:tc>
        <w:tc>
          <w:tcPr>
            <w:tcW w:type="dxa" w:w="3331"/>
            <w:tcMar>
              <w:top w:w="100" w:type="dxa"/>
              <w:start w:w="120" w:type="dxa"/>
              <w:bottom w:w="100" w:type="dxa"/>
              <w:end w:w="120" w:type="dxa"/>
            </w:tcMar>
            <w:vAlign w:val="center"/>
            <w:shd w:fill="F5F7F8"/>
          </w:tcPr>
          <w:p>
            <w:pPr>
              <w:spacing w:after="0" w:line="240" w:lineRule="auto"/>
            </w:pPr>
            <w:r>
              <w:rPr>
                <w:sz w:val="17"/>
              </w:rPr>
              <w:t>mypy strict for `src/autorag_tuner`</w:t>
            </w:r>
          </w:p>
        </w:tc>
        <w:tc>
          <w:tcPr>
            <w:tcW w:type="dxa" w:w="3331"/>
            <w:tcMar>
              <w:top w:w="100" w:type="dxa"/>
              <w:start w:w="120" w:type="dxa"/>
              <w:bottom w:w="100" w:type="dxa"/>
              <w:end w:w="120" w:type="dxa"/>
            </w:tcMar>
            <w:vAlign w:val="center"/>
            <w:shd w:fill="F5F7F8"/>
          </w:tcPr>
          <w:p>
            <w:pPr>
              <w:spacing w:after="0" w:line="240" w:lineRule="auto"/>
            </w:pPr>
            <w:r>
              <w:rPr>
                <w:sz w:val="17"/>
              </w:rPr>
              <w:t>Tests may use limited targeted ignores</w:t>
            </w:r>
          </w:p>
        </w:tc>
      </w:tr>
      <w:tr>
        <w:tc>
          <w:tcPr>
            <w:tcW w:type="dxa" w:w="3331"/>
            <w:tcMar>
              <w:top w:w="100" w:type="dxa"/>
              <w:start w:w="120" w:type="dxa"/>
              <w:bottom w:w="100" w:type="dxa"/>
              <w:end w:w="120" w:type="dxa"/>
            </w:tcMar>
            <w:vAlign w:val="center"/>
          </w:tcPr>
          <w:p>
            <w:pPr>
              <w:spacing w:after="0" w:line="240" w:lineRule="auto"/>
            </w:pPr>
            <w:r>
              <w:rPr>
                <w:sz w:val="17"/>
              </w:rPr>
              <w:t>Tests</w:t>
            </w:r>
          </w:p>
        </w:tc>
        <w:tc>
          <w:tcPr>
            <w:tcW w:type="dxa" w:w="3331"/>
            <w:tcMar>
              <w:top w:w="100" w:type="dxa"/>
              <w:start w:w="120" w:type="dxa"/>
              <w:bottom w:w="100" w:type="dxa"/>
              <w:end w:w="120" w:type="dxa"/>
            </w:tcMar>
            <w:vAlign w:val="center"/>
          </w:tcPr>
          <w:p>
            <w:pPr>
              <w:spacing w:after="0" w:line="240" w:lineRule="auto"/>
            </w:pPr>
            <w:r>
              <w:rPr>
                <w:sz w:val="17"/>
              </w:rPr>
              <w:t>pytest and pytest-asyncio</w:t>
            </w:r>
          </w:p>
        </w:tc>
        <w:tc>
          <w:tcPr>
            <w:tcW w:type="dxa" w:w="3331"/>
            <w:tcMar>
              <w:top w:w="100" w:type="dxa"/>
              <w:start w:w="120" w:type="dxa"/>
              <w:bottom w:w="100" w:type="dxa"/>
              <w:end w:w="120" w:type="dxa"/>
            </w:tcMar>
            <w:vAlign w:val="center"/>
          </w:tcPr>
          <w:p>
            <w:pPr>
              <w:spacing w:after="0" w:line="240" w:lineRule="auto"/>
            </w:pPr>
            <w:r>
              <w:rPr>
                <w:sz w:val="17"/>
              </w:rPr>
              <w:t>Asyncio mode is explicit</w:t>
            </w:r>
          </w:p>
        </w:tc>
      </w:tr>
      <w:tr>
        <w:tc>
          <w:tcPr>
            <w:tcW w:type="dxa" w:w="3331"/>
            <w:tcMar>
              <w:top w:w="100" w:type="dxa"/>
              <w:start w:w="120" w:type="dxa"/>
              <w:bottom w:w="100" w:type="dxa"/>
              <w:end w:w="120" w:type="dxa"/>
            </w:tcMar>
            <w:vAlign w:val="center"/>
            <w:shd w:fill="F5F7F8"/>
          </w:tcPr>
          <w:p>
            <w:pPr>
              <w:spacing w:after="0" w:line="240" w:lineRule="auto"/>
            </w:pPr>
            <w:r>
              <w:rPr>
                <w:sz w:val="17"/>
              </w:rPr>
              <w:t>Build</w:t>
            </w:r>
          </w:p>
        </w:tc>
        <w:tc>
          <w:tcPr>
            <w:tcW w:type="dxa" w:w="3331"/>
            <w:tcMar>
              <w:top w:w="100" w:type="dxa"/>
              <w:start w:w="120" w:type="dxa"/>
              <w:bottom w:w="100" w:type="dxa"/>
              <w:end w:w="120" w:type="dxa"/>
            </w:tcMar>
            <w:vAlign w:val="center"/>
            <w:shd w:fill="F5F7F8"/>
          </w:tcPr>
          <w:p>
            <w:pPr>
              <w:spacing w:after="0" w:line="240" w:lineRule="auto"/>
            </w:pPr>
            <w:r>
              <w:rPr>
                <w:sz w:val="17"/>
              </w:rPr>
              <w:t>Hatchling or equivalent PEP 517 backend</w:t>
            </w:r>
          </w:p>
        </w:tc>
        <w:tc>
          <w:tcPr>
            <w:tcW w:type="dxa" w:w="3331"/>
            <w:tcMar>
              <w:top w:w="100" w:type="dxa"/>
              <w:start w:w="120" w:type="dxa"/>
              <w:bottom w:w="100" w:type="dxa"/>
              <w:end w:w="120" w:type="dxa"/>
            </w:tcMar>
            <w:vAlign w:val="center"/>
            <w:shd w:fill="F5F7F8"/>
          </w:tcPr>
          <w:p>
            <w:pPr>
              <w:spacing w:after="0" w:line="240" w:lineRule="auto"/>
            </w:pPr>
            <w:r>
              <w:rPr>
                <w:sz w:val="17"/>
              </w:rPr>
              <w:t>Backend is an implementation detail unless plugins depend on it</w:t>
            </w:r>
          </w:p>
        </w:tc>
      </w:tr>
      <w:tr>
        <w:tc>
          <w:tcPr>
            <w:tcW w:type="dxa" w:w="3331"/>
            <w:tcMar>
              <w:top w:w="100" w:type="dxa"/>
              <w:start w:w="120" w:type="dxa"/>
              <w:bottom w:w="100" w:type="dxa"/>
              <w:end w:w="120" w:type="dxa"/>
            </w:tcMar>
            <w:vAlign w:val="center"/>
          </w:tcPr>
          <w:p>
            <w:pPr>
              <w:spacing w:after="0" w:line="240" w:lineRule="auto"/>
            </w:pPr>
            <w:r>
              <w:rPr>
                <w:sz w:val="17"/>
              </w:rPr>
              <w:t>API docs</w:t>
            </w:r>
          </w:p>
        </w:tc>
        <w:tc>
          <w:tcPr>
            <w:tcW w:type="dxa" w:w="3331"/>
            <w:tcMar>
              <w:top w:w="100" w:type="dxa"/>
              <w:start w:w="120" w:type="dxa"/>
              <w:bottom w:w="100" w:type="dxa"/>
              <w:end w:w="120" w:type="dxa"/>
            </w:tcMar>
            <w:vAlign w:val="center"/>
          </w:tcPr>
          <w:p>
            <w:pPr>
              <w:spacing w:after="0" w:line="240" w:lineRule="auto"/>
            </w:pPr>
            <w:r>
              <w:rPr>
                <w:sz w:val="17"/>
              </w:rPr>
              <w:t>Docstrings plus generated reference pages later</w:t>
            </w:r>
          </w:p>
        </w:tc>
        <w:tc>
          <w:tcPr>
            <w:tcW w:type="dxa" w:w="3331"/>
            <w:tcMar>
              <w:top w:w="100" w:type="dxa"/>
              <w:start w:w="120" w:type="dxa"/>
              <w:bottom w:w="100" w:type="dxa"/>
              <w:end w:w="120" w:type="dxa"/>
            </w:tcMar>
            <w:vAlign w:val="center"/>
          </w:tcPr>
          <w:p>
            <w:pPr>
              <w:spacing w:after="0" w:line="240" w:lineRule="auto"/>
            </w:pPr>
            <w:r>
              <w:rPr>
                <w:sz w:val="17"/>
              </w:rPr>
              <w:t>DOCX pack remains the design baseline</w:t>
            </w:r>
          </w:p>
        </w:tc>
      </w:tr>
    </w:tbl>
    <w:p>
      <w:pPr>
        <w:spacing w:after="20"/>
      </w:pPr>
    </w:p>
    <w:p>
      <w:pPr>
        <w:pStyle w:val="Heading1"/>
      </w:pPr>
      <w:r>
        <w:t>Source style</w:t>
      </w:r>
    </w:p>
    <w:p>
      <w:pPr>
        <w:pStyle w:val="ListBullet"/>
      </w:pPr>
      <w:r>
        <w:t>Use four spaces, UTF-8, LF in the repository, and a final newline.</w:t>
      </w:r>
    </w:p>
    <w:p>
      <w:pPr>
        <w:pStyle w:val="ListBullet"/>
      </w:pPr>
      <w:r>
        <w:t>Prefer lines that format cleanly at 100 characters. Do not hand-format against the formatter.</w:t>
      </w:r>
    </w:p>
    <w:p>
      <w:pPr>
        <w:pStyle w:val="ListBullet"/>
      </w:pPr>
      <w:r>
        <w:t>Use double quotes for strings as produced by the formatter.</w:t>
      </w:r>
    </w:p>
    <w:p>
      <w:pPr>
        <w:pStyle w:val="ListBullet"/>
      </w:pPr>
      <w:r>
        <w:t>Keep imports absolute across package modules. Relative imports are allowed only within a tightly scoped private subpackage when they improve clarity.</w:t>
      </w:r>
    </w:p>
    <w:p>
      <w:pPr>
        <w:pStyle w:val="ListBullet"/>
      </w:pPr>
      <w:r>
        <w:t>Keep module import time cheap and side-effect free. Do not read environment variables, create clients, touch the database, or configure logging at import time.</w:t>
      </w:r>
    </w:p>
    <w:p>
      <w:pPr>
        <w:pStyle w:val="ListBullet"/>
      </w:pPr>
      <w:r>
        <w:t xml:space="preserve">Export public names explicitly from package </w:t>
      </w:r>
      <w:r>
        <w:rPr>
          <w:rFonts w:ascii="Cascadia Mono" w:hAnsi="Cascadia Mono"/>
          <w:sz w:val="18"/>
        </w:rPr>
        <w:t>__init__.py</w:t>
      </w:r>
      <w:r>
        <w:t xml:space="preserve"> files and define </w:t>
      </w:r>
      <w:r>
        <w:rPr>
          <w:rFonts w:ascii="Cascadia Mono" w:hAnsi="Cascadia Mono"/>
          <w:sz w:val="18"/>
        </w:rPr>
        <w:t>__all__</w:t>
      </w:r>
      <w:r>
        <w:t xml:space="preserve"> where a module is intended as a public namespace.</w:t>
      </w:r>
    </w:p>
    <w:p>
      <w:pPr>
        <w:pStyle w:val="Heading1"/>
      </w:pPr>
      <w:r>
        <w:t>Naming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Element</w:t>
            </w:r>
          </w:p>
        </w:tc>
        <w:tc>
          <w:tcPr>
            <w:tcW w:type="dxa" w:w="3331"/>
            <w:shd w:fill="17324D"/>
            <w:tcMar>
              <w:top w:w="115" w:type="dxa"/>
              <w:start w:w="120" w:type="dxa"/>
              <w:bottom w:w="115" w:type="dxa"/>
              <w:end w:w="120" w:type="dxa"/>
            </w:tcMar>
            <w:vAlign w:val="center"/>
          </w:tcPr>
          <w:p>
            <w:r>
              <w:rPr>
                <w:b/>
                <w:color w:val="FFFFFF"/>
                <w:sz w:val="18"/>
              </w:rPr>
              <w:t>Convention</w:t>
            </w:r>
          </w:p>
        </w:tc>
        <w:tc>
          <w:tcPr>
            <w:tcW w:type="dxa" w:w="3331"/>
            <w:shd w:fill="17324D"/>
            <w:tcMar>
              <w:top w:w="115" w:type="dxa"/>
              <w:start w:w="120" w:type="dxa"/>
              <w:bottom w:w="115" w:type="dxa"/>
              <w:end w:w="120" w:type="dxa"/>
            </w:tcMar>
            <w:vAlign w:val="center"/>
          </w:tcPr>
          <w:p>
            <w:r>
              <w:rPr>
                <w:b/>
                <w:color w:val="FFFFFF"/>
                <w:sz w:val="18"/>
              </w:rPr>
              <w:t>Example</w:t>
            </w:r>
          </w:p>
        </w:tc>
      </w:tr>
      <w:tr>
        <w:tc>
          <w:tcPr>
            <w:tcW w:type="dxa" w:w="3331"/>
            <w:tcMar>
              <w:top w:w="100" w:type="dxa"/>
              <w:start w:w="120" w:type="dxa"/>
              <w:bottom w:w="100" w:type="dxa"/>
              <w:end w:w="120" w:type="dxa"/>
            </w:tcMar>
            <w:vAlign w:val="center"/>
          </w:tcPr>
          <w:p>
            <w:pPr>
              <w:spacing w:after="0" w:line="240" w:lineRule="auto"/>
            </w:pPr>
            <w:r>
              <w:rPr>
                <w:sz w:val="17"/>
              </w:rPr>
              <w:t>Package and modules</w:t>
            </w:r>
          </w:p>
        </w:tc>
        <w:tc>
          <w:tcPr>
            <w:tcW w:type="dxa" w:w="3331"/>
            <w:tcMar>
              <w:top w:w="100" w:type="dxa"/>
              <w:start w:w="120" w:type="dxa"/>
              <w:bottom w:w="100" w:type="dxa"/>
              <w:end w:w="120" w:type="dxa"/>
            </w:tcMar>
            <w:vAlign w:val="center"/>
          </w:tcPr>
          <w:p>
            <w:pPr>
              <w:spacing w:after="0" w:line="240" w:lineRule="auto"/>
            </w:pPr>
            <w:r>
              <w:rPr>
                <w:sz w:val="17"/>
              </w:rPr>
              <w:t>lowercase snake case</w:t>
            </w:r>
          </w:p>
        </w:tc>
        <w:tc>
          <w:tcPr>
            <w:tcW w:type="dxa" w:w="3331"/>
            <w:tcMar>
              <w:top w:w="100" w:type="dxa"/>
              <w:start w:w="120" w:type="dxa"/>
              <w:bottom w:w="100" w:type="dxa"/>
              <w:end w:w="120" w:type="dxa"/>
            </w:tcMar>
            <w:vAlign w:val="center"/>
          </w:tcPr>
          <w:p>
            <w:pPr>
              <w:spacing w:after="0" w:line="240" w:lineRule="auto"/>
            </w:pPr>
            <w:r>
              <w:rPr>
                <w:sz w:val="17"/>
              </w:rPr>
              <w:t>`search_space.py`</w:t>
            </w:r>
          </w:p>
        </w:tc>
      </w:tr>
      <w:tr>
        <w:tc>
          <w:tcPr>
            <w:tcW w:type="dxa" w:w="3331"/>
            <w:tcMar>
              <w:top w:w="100" w:type="dxa"/>
              <w:start w:w="120" w:type="dxa"/>
              <w:bottom w:w="100" w:type="dxa"/>
              <w:end w:w="120" w:type="dxa"/>
            </w:tcMar>
            <w:vAlign w:val="center"/>
            <w:shd w:fill="F5F7F8"/>
          </w:tcPr>
          <w:p>
            <w:pPr>
              <w:spacing w:after="0" w:line="240" w:lineRule="auto"/>
            </w:pPr>
            <w:r>
              <w:rPr>
                <w:sz w:val="17"/>
              </w:rPr>
              <w:t>Classes and protocols</w:t>
            </w:r>
          </w:p>
        </w:tc>
        <w:tc>
          <w:tcPr>
            <w:tcW w:type="dxa" w:w="3331"/>
            <w:tcMar>
              <w:top w:w="100" w:type="dxa"/>
              <w:start w:w="120" w:type="dxa"/>
              <w:bottom w:w="100" w:type="dxa"/>
              <w:end w:w="120" w:type="dxa"/>
            </w:tcMar>
            <w:vAlign w:val="center"/>
            <w:shd w:fill="F5F7F8"/>
          </w:tcPr>
          <w:p>
            <w:pPr>
              <w:spacing w:after="0" w:line="240" w:lineRule="auto"/>
            </w:pPr>
            <w:r>
              <w:rPr>
                <w:sz w:val="17"/>
              </w:rPr>
              <w:t>CapWords</w:t>
            </w:r>
          </w:p>
        </w:tc>
        <w:tc>
          <w:tcPr>
            <w:tcW w:type="dxa" w:w="3331"/>
            <w:tcMar>
              <w:top w:w="100" w:type="dxa"/>
              <w:start w:w="120" w:type="dxa"/>
              <w:bottom w:w="100" w:type="dxa"/>
              <w:end w:w="120" w:type="dxa"/>
            </w:tcMar>
            <w:vAlign w:val="center"/>
            <w:shd w:fill="F5F7F8"/>
          </w:tcPr>
          <w:p>
            <w:pPr>
              <w:spacing w:after="0" w:line="240" w:lineRule="auto"/>
            </w:pPr>
            <w:r>
              <w:rPr>
                <w:sz w:val="17"/>
              </w:rPr>
              <w:t>`ExperimentStore`, `TrialContext`</w:t>
            </w:r>
          </w:p>
        </w:tc>
      </w:tr>
      <w:tr>
        <w:tc>
          <w:tcPr>
            <w:tcW w:type="dxa" w:w="3331"/>
            <w:tcMar>
              <w:top w:w="100" w:type="dxa"/>
              <w:start w:w="120" w:type="dxa"/>
              <w:bottom w:w="100" w:type="dxa"/>
              <w:end w:w="120" w:type="dxa"/>
            </w:tcMar>
            <w:vAlign w:val="center"/>
          </w:tcPr>
          <w:p>
            <w:pPr>
              <w:spacing w:after="0" w:line="240" w:lineRule="auto"/>
            </w:pPr>
            <w:r>
              <w:rPr>
                <w:sz w:val="17"/>
              </w:rPr>
              <w:t>Functions and variables</w:t>
            </w:r>
          </w:p>
        </w:tc>
        <w:tc>
          <w:tcPr>
            <w:tcW w:type="dxa" w:w="3331"/>
            <w:tcMar>
              <w:top w:w="100" w:type="dxa"/>
              <w:start w:w="120" w:type="dxa"/>
              <w:bottom w:w="100" w:type="dxa"/>
              <w:end w:w="120" w:type="dxa"/>
            </w:tcMar>
            <w:vAlign w:val="center"/>
          </w:tcPr>
          <w:p>
            <w:pPr>
              <w:spacing w:after="0" w:line="240" w:lineRule="auto"/>
            </w:pPr>
            <w:r>
              <w:rPr>
                <w:sz w:val="17"/>
              </w:rPr>
              <w:t>lowercase snake case</w:t>
            </w:r>
          </w:p>
        </w:tc>
        <w:tc>
          <w:tcPr>
            <w:tcW w:type="dxa" w:w="3331"/>
            <w:tcMar>
              <w:top w:w="100" w:type="dxa"/>
              <w:start w:w="120" w:type="dxa"/>
              <w:bottom w:w="100" w:type="dxa"/>
              <w:end w:w="120" w:type="dxa"/>
            </w:tcMar>
            <w:vAlign w:val="center"/>
          </w:tcPr>
          <w:p>
            <w:pPr>
              <w:spacing w:after="0" w:line="240" w:lineRule="auto"/>
            </w:pPr>
            <w:r>
              <w:rPr>
                <w:sz w:val="17"/>
              </w:rPr>
              <w:t>`compute_dataset_hash`</w:t>
            </w:r>
          </w:p>
        </w:tc>
      </w:tr>
      <w:tr>
        <w:tc>
          <w:tcPr>
            <w:tcW w:type="dxa" w:w="3331"/>
            <w:tcMar>
              <w:top w:w="100" w:type="dxa"/>
              <w:start w:w="120" w:type="dxa"/>
              <w:bottom w:w="100" w:type="dxa"/>
              <w:end w:w="120" w:type="dxa"/>
            </w:tcMar>
            <w:vAlign w:val="center"/>
            <w:shd w:fill="F5F7F8"/>
          </w:tcPr>
          <w:p>
            <w:pPr>
              <w:spacing w:after="0" w:line="240" w:lineRule="auto"/>
            </w:pPr>
            <w:r>
              <w:rPr>
                <w:sz w:val="17"/>
              </w:rPr>
              <w:t>Constants</w:t>
            </w:r>
          </w:p>
        </w:tc>
        <w:tc>
          <w:tcPr>
            <w:tcW w:type="dxa" w:w="3331"/>
            <w:tcMar>
              <w:top w:w="100" w:type="dxa"/>
              <w:start w:w="120" w:type="dxa"/>
              <w:bottom w:w="100" w:type="dxa"/>
              <w:end w:w="120" w:type="dxa"/>
            </w:tcMar>
            <w:vAlign w:val="center"/>
            <w:shd w:fill="F5F7F8"/>
          </w:tcPr>
          <w:p>
            <w:pPr>
              <w:spacing w:after="0" w:line="240" w:lineRule="auto"/>
            </w:pPr>
            <w:r>
              <w:rPr>
                <w:sz w:val="17"/>
              </w:rPr>
              <w:t>uppercase snake case</w:t>
            </w:r>
          </w:p>
        </w:tc>
        <w:tc>
          <w:tcPr>
            <w:tcW w:type="dxa" w:w="3331"/>
            <w:tcMar>
              <w:top w:w="100" w:type="dxa"/>
              <w:start w:w="120" w:type="dxa"/>
              <w:bottom w:w="100" w:type="dxa"/>
              <w:end w:w="120" w:type="dxa"/>
            </w:tcMar>
            <w:vAlign w:val="center"/>
            <w:shd w:fill="F5F7F8"/>
          </w:tcPr>
          <w:p>
            <w:pPr>
              <w:spacing w:after="0" w:line="240" w:lineRule="auto"/>
            </w:pPr>
            <w:r>
              <w:rPr>
                <w:sz w:val="17"/>
              </w:rPr>
              <w:t>`DEFAULT_BUSY_TIMEOUT_MS`</w:t>
            </w:r>
          </w:p>
        </w:tc>
      </w:tr>
      <w:tr>
        <w:tc>
          <w:tcPr>
            <w:tcW w:type="dxa" w:w="3331"/>
            <w:tcMar>
              <w:top w:w="100" w:type="dxa"/>
              <w:start w:w="120" w:type="dxa"/>
              <w:bottom w:w="100" w:type="dxa"/>
              <w:end w:w="120" w:type="dxa"/>
            </w:tcMar>
            <w:vAlign w:val="center"/>
          </w:tcPr>
          <w:p>
            <w:pPr>
              <w:spacing w:after="0" w:line="240" w:lineRule="auto"/>
            </w:pPr>
            <w:r>
              <w:rPr>
                <w:sz w:val="17"/>
              </w:rPr>
              <w:t>Async methods</w:t>
            </w:r>
          </w:p>
        </w:tc>
        <w:tc>
          <w:tcPr>
            <w:tcW w:type="dxa" w:w="3331"/>
            <w:tcMar>
              <w:top w:w="100" w:type="dxa"/>
              <w:start w:w="120" w:type="dxa"/>
              <w:bottom w:w="100" w:type="dxa"/>
              <w:end w:w="120" w:type="dxa"/>
            </w:tcMar>
            <w:vAlign w:val="center"/>
          </w:tcPr>
          <w:p>
            <w:pPr>
              <w:spacing w:after="0" w:line="240" w:lineRule="auto"/>
            </w:pPr>
            <w:r>
              <w:rPr>
                <w:sz w:val="17"/>
              </w:rPr>
              <w:t>verb with optional `a` prefix only for paired public APIs</w:t>
            </w:r>
          </w:p>
        </w:tc>
        <w:tc>
          <w:tcPr>
            <w:tcW w:type="dxa" w:w="3331"/>
            <w:tcMar>
              <w:top w:w="100" w:type="dxa"/>
              <w:start w:w="120" w:type="dxa"/>
              <w:bottom w:w="100" w:type="dxa"/>
              <w:end w:w="120" w:type="dxa"/>
            </w:tcMar>
            <w:vAlign w:val="center"/>
          </w:tcPr>
          <w:p>
            <w:pPr>
              <w:spacing w:after="0" w:line="240" w:lineRule="auto"/>
            </w:pPr>
            <w:r>
              <w:rPr>
                <w:sz w:val="17"/>
              </w:rPr>
              <w:t>`aoptimize`, `optimize`; internal `execute_trial`</w:t>
            </w:r>
          </w:p>
        </w:tc>
      </w:tr>
      <w:tr>
        <w:tc>
          <w:tcPr>
            <w:tcW w:type="dxa" w:w="3331"/>
            <w:tcMar>
              <w:top w:w="100" w:type="dxa"/>
              <w:start w:w="120" w:type="dxa"/>
              <w:bottom w:w="100" w:type="dxa"/>
              <w:end w:w="120" w:type="dxa"/>
            </w:tcMar>
            <w:vAlign w:val="center"/>
            <w:shd w:fill="F5F7F8"/>
          </w:tcPr>
          <w:p>
            <w:pPr>
              <w:spacing w:after="0" w:line="240" w:lineRule="auto"/>
            </w:pPr>
            <w:r>
              <w:rPr>
                <w:sz w:val="17"/>
              </w:rPr>
              <w:t>Private implementation</w:t>
            </w:r>
          </w:p>
        </w:tc>
        <w:tc>
          <w:tcPr>
            <w:tcW w:type="dxa" w:w="3331"/>
            <w:tcMar>
              <w:top w:w="100" w:type="dxa"/>
              <w:start w:w="120" w:type="dxa"/>
              <w:bottom w:w="100" w:type="dxa"/>
              <w:end w:w="120" w:type="dxa"/>
            </w:tcMar>
            <w:vAlign w:val="center"/>
            <w:shd w:fill="F5F7F8"/>
          </w:tcPr>
          <w:p>
            <w:pPr>
              <w:spacing w:after="0" w:line="240" w:lineRule="auto"/>
            </w:pPr>
            <w:r>
              <w:rPr>
                <w:sz w:val="17"/>
              </w:rPr>
              <w:t>leading underscore</w:t>
            </w:r>
          </w:p>
        </w:tc>
        <w:tc>
          <w:tcPr>
            <w:tcW w:type="dxa" w:w="3331"/>
            <w:tcMar>
              <w:top w:w="100" w:type="dxa"/>
              <w:start w:w="120" w:type="dxa"/>
              <w:bottom w:w="100" w:type="dxa"/>
              <w:end w:w="120" w:type="dxa"/>
            </w:tcMar>
            <w:vAlign w:val="center"/>
            <w:shd w:fill="F5F7F8"/>
          </w:tcPr>
          <w:p>
            <w:pPr>
              <w:spacing w:after="0" w:line="240" w:lineRule="auto"/>
            </w:pPr>
            <w:r>
              <w:rPr>
                <w:sz w:val="17"/>
              </w:rPr>
              <w:t>`_TrialRunner`</w:t>
            </w:r>
          </w:p>
        </w:tc>
      </w:tr>
      <w:tr>
        <w:tc>
          <w:tcPr>
            <w:tcW w:type="dxa" w:w="3331"/>
            <w:tcMar>
              <w:top w:w="100" w:type="dxa"/>
              <w:start w:w="120" w:type="dxa"/>
              <w:bottom w:w="100" w:type="dxa"/>
              <w:end w:w="120" w:type="dxa"/>
            </w:tcMar>
            <w:vAlign w:val="center"/>
          </w:tcPr>
          <w:p>
            <w:pPr>
              <w:spacing w:after="0" w:line="240" w:lineRule="auto"/>
            </w:pPr>
            <w:r>
              <w:rPr>
                <w:sz w:val="17"/>
              </w:rPr>
              <w:t>Stable error codes</w:t>
            </w:r>
          </w:p>
        </w:tc>
        <w:tc>
          <w:tcPr>
            <w:tcW w:type="dxa" w:w="3331"/>
            <w:tcMar>
              <w:top w:w="100" w:type="dxa"/>
              <w:start w:w="120" w:type="dxa"/>
              <w:bottom w:w="100" w:type="dxa"/>
              <w:end w:w="120" w:type="dxa"/>
            </w:tcMar>
            <w:vAlign w:val="center"/>
          </w:tcPr>
          <w:p>
            <w:pPr>
              <w:spacing w:after="0" w:line="240" w:lineRule="auto"/>
            </w:pPr>
            <w:r>
              <w:rPr>
                <w:sz w:val="17"/>
              </w:rPr>
              <w:t>lowercase dotted strings</w:t>
            </w:r>
          </w:p>
        </w:tc>
        <w:tc>
          <w:tcPr>
            <w:tcW w:type="dxa" w:w="3331"/>
            <w:tcMar>
              <w:top w:w="100" w:type="dxa"/>
              <w:start w:w="120" w:type="dxa"/>
              <w:bottom w:w="100" w:type="dxa"/>
              <w:end w:w="120" w:type="dxa"/>
            </w:tcMar>
            <w:vAlign w:val="center"/>
          </w:tcPr>
          <w:p>
            <w:pPr>
              <w:spacing w:after="0" w:line="240" w:lineRule="auto"/>
            </w:pPr>
            <w:r>
              <w:rPr>
                <w:sz w:val="17"/>
              </w:rPr>
              <w:t>`adapter.invalid_result`</w:t>
            </w:r>
          </w:p>
        </w:tc>
      </w:tr>
      <w:tr>
        <w:tc>
          <w:tcPr>
            <w:tcW w:type="dxa" w:w="3331"/>
            <w:tcMar>
              <w:top w:w="100" w:type="dxa"/>
              <w:start w:w="120" w:type="dxa"/>
              <w:bottom w:w="100" w:type="dxa"/>
              <w:end w:w="120" w:type="dxa"/>
            </w:tcMar>
            <w:vAlign w:val="center"/>
            <w:shd w:fill="F5F7F8"/>
          </w:tcPr>
          <w:p>
            <w:pPr>
              <w:spacing w:after="0" w:line="240" w:lineRule="auto"/>
            </w:pPr>
            <w:r>
              <w:rPr>
                <w:sz w:val="17"/>
              </w:rPr>
              <w:t>Metric names</w:t>
            </w:r>
          </w:p>
        </w:tc>
        <w:tc>
          <w:tcPr>
            <w:tcW w:type="dxa" w:w="3331"/>
            <w:tcMar>
              <w:top w:w="100" w:type="dxa"/>
              <w:start w:w="120" w:type="dxa"/>
              <w:bottom w:w="100" w:type="dxa"/>
              <w:end w:w="120" w:type="dxa"/>
            </w:tcMar>
            <w:vAlign w:val="center"/>
            <w:shd w:fill="F5F7F8"/>
          </w:tcPr>
          <w:p>
            <w:pPr>
              <w:spacing w:after="0" w:line="240" w:lineRule="auto"/>
            </w:pPr>
            <w:r>
              <w:rPr>
                <w:sz w:val="17"/>
              </w:rPr>
              <w:t>namespace plus name</w:t>
            </w:r>
          </w:p>
        </w:tc>
        <w:tc>
          <w:tcPr>
            <w:tcW w:type="dxa" w:w="3331"/>
            <w:tcMar>
              <w:top w:w="100" w:type="dxa"/>
              <w:start w:w="120" w:type="dxa"/>
              <w:bottom w:w="100" w:type="dxa"/>
              <w:end w:w="120" w:type="dxa"/>
            </w:tcMar>
            <w:vAlign w:val="center"/>
            <w:shd w:fill="F5F7F8"/>
          </w:tcPr>
          <w:p>
            <w:pPr>
              <w:spacing w:after="0" w:line="240" w:lineRule="auto"/>
            </w:pPr>
            <w:r>
              <w:rPr>
                <w:sz w:val="17"/>
              </w:rPr>
              <w:t>`ragas.faithfulness`</w:t>
            </w:r>
          </w:p>
        </w:tc>
      </w:tr>
    </w:tbl>
    <w:p>
      <w:pPr>
        <w:spacing w:after="20"/>
      </w:pPr>
    </w:p>
    <w:p>
      <w:r>
        <w:t xml:space="preserve">Do not encode types in names. Name data by domain meaning: </w:t>
      </w:r>
      <w:r>
        <w:rPr>
          <w:rFonts w:ascii="Cascadia Mono" w:hAnsi="Cascadia Mono"/>
          <w:sz w:val="18"/>
        </w:rPr>
        <w:t>trial_id</w:t>
      </w:r>
      <w:r>
        <w:t xml:space="preserve">, not </w:t>
      </w:r>
      <w:r>
        <w:rPr>
          <w:rFonts w:ascii="Cascadia Mono" w:hAnsi="Cascadia Mono"/>
          <w:sz w:val="18"/>
        </w:rPr>
        <w:t>trial_uuid_string</w:t>
      </w:r>
      <w:r>
        <w:t xml:space="preserve">; </w:t>
      </w:r>
      <w:r>
        <w:rPr>
          <w:rFonts w:ascii="Cascadia Mono" w:hAnsi="Cascadia Mono"/>
          <w:sz w:val="18"/>
        </w:rPr>
        <w:t>candidate</w:t>
      </w:r>
      <w:r>
        <w:t xml:space="preserve">, not </w:t>
      </w:r>
      <w:r>
        <w:rPr>
          <w:rFonts w:ascii="Cascadia Mono" w:hAnsi="Cascadia Mono"/>
          <w:sz w:val="18"/>
        </w:rPr>
        <w:t>config_dict</w:t>
      </w:r>
      <w:r>
        <w:t xml:space="preserve">. Avoid generic </w:t>
      </w:r>
      <w:r>
        <w:rPr>
          <w:rFonts w:ascii="Cascadia Mono" w:hAnsi="Cascadia Mono"/>
          <w:sz w:val="18"/>
        </w:rPr>
        <w:t>manager</w:t>
      </w:r>
      <w:r>
        <w:t xml:space="preserve">, </w:t>
      </w:r>
      <w:r>
        <w:rPr>
          <w:rFonts w:ascii="Cascadia Mono" w:hAnsi="Cascadia Mono"/>
          <w:sz w:val="18"/>
        </w:rPr>
        <w:t>helper</w:t>
      </w:r>
      <w:r>
        <w:t xml:space="preserve">, </w:t>
      </w:r>
      <w:r>
        <w:rPr>
          <w:rFonts w:ascii="Cascadia Mono" w:hAnsi="Cascadia Mono"/>
          <w:sz w:val="18"/>
        </w:rPr>
        <w:t>utils</w:t>
      </w:r>
      <w:r>
        <w:t xml:space="preserve">, or </w:t>
      </w:r>
      <w:r>
        <w:rPr>
          <w:rFonts w:ascii="Cascadia Mono" w:hAnsi="Cascadia Mono"/>
          <w:sz w:val="18"/>
        </w:rPr>
        <w:t>common</w:t>
      </w:r>
      <w:r>
        <w:t xml:space="preserve"> modules when a domain-specific name exists.</w:t>
      </w:r>
    </w:p>
    <w:p>
      <w:pPr>
        <w:pStyle w:val="Heading1"/>
      </w:pPr>
      <w:r>
        <w:t>Typing rules</w:t>
      </w:r>
    </w:p>
    <w:p>
      <w:r>
        <w:t>Public functions and methods require complete parameter and return annotations. Internal functions also require annotations unless they are trivial local closures. Prefer standard collections and protocols over concrete implementations at boundaries.</w:t>
      </w:r>
    </w:p>
    <w:p>
      <w:pPr>
        <w:spacing w:before="80" w:after="140" w:line="240" w:lineRule="auto"/>
        <w:ind w:left="360" w:right="216"/>
      </w:pPr>
      <w:r>
        <w:rPr>
          <w:rFonts w:ascii="Cascadia Mono" w:hAnsi="Cascadia Mono"/>
          <w:sz w:val="17"/>
        </w:rPr>
        <w:t>async def evaluate_sample(</w:t>
        <w:br/>
      </w:r>
      <w:r>
        <w:rPr>
          <w:rFonts w:ascii="Cascadia Mono" w:hAnsi="Cascadia Mono"/>
          <w:sz w:val="17"/>
        </w:rPr>
        <w:t xml:space="preserve">    sample: EvaluationSample,</w:t>
        <w:br/>
      </w:r>
      <w:r>
        <w:rPr>
          <w:rFonts w:ascii="Cascadia Mono" w:hAnsi="Cascadia Mono"/>
          <w:sz w:val="17"/>
        </w:rPr>
        <w:t xml:space="preserve">    result: RunResult,</w:t>
        <w:br/>
      </w:r>
      <w:r>
        <w:rPr>
          <w:rFonts w:ascii="Cascadia Mono" w:hAnsi="Cascadia Mono"/>
          <w:sz w:val="17"/>
        </w:rPr>
        <w:t xml:space="preserve">    evaluators: Sequence[Evaluator],</w:t>
        <w:br/>
      </w:r>
      <w:r>
        <w:rPr>
          <w:rFonts w:ascii="Cascadia Mono" w:hAnsi="Cascadia Mono"/>
          <w:sz w:val="17"/>
        </w:rPr>
        <w:t>) -&gt; MetricSet:</w:t>
        <w:br/>
      </w:r>
      <w:r>
        <w:rPr>
          <w:rFonts w:ascii="Cascadia Mono" w:hAnsi="Cascadia Mono"/>
          <w:sz w:val="17"/>
        </w:rPr>
        <w:t xml:space="preserve">    ...</w:t>
      </w:r>
    </w:p>
    <w:p>
      <w:pPr>
        <w:pStyle w:val="ListBullet"/>
      </w:pPr>
      <w:r>
        <w:t xml:space="preserve">Use </w:t>
      </w:r>
      <w:r>
        <w:rPr>
          <w:rFonts w:ascii="Cascadia Mono" w:hAnsi="Cascadia Mono"/>
          <w:sz w:val="18"/>
        </w:rPr>
        <w:t>Mapping</w:t>
      </w:r>
      <w:r>
        <w:t xml:space="preserve"> for read-only inputs and </w:t>
      </w:r>
      <w:r>
        <w:rPr>
          <w:rFonts w:ascii="Cascadia Mono" w:hAnsi="Cascadia Mono"/>
          <w:sz w:val="18"/>
        </w:rPr>
        <w:t>dict</w:t>
      </w:r>
      <w:r>
        <w:t xml:space="preserve"> for owned mutable values.</w:t>
      </w:r>
    </w:p>
    <w:p>
      <w:pPr>
        <w:pStyle w:val="ListBullet"/>
      </w:pPr>
      <w:r>
        <w:t>Use frozen dataclasses or validated immutable models for public domain values.</w:t>
      </w:r>
    </w:p>
    <w:p>
      <w:pPr>
        <w:pStyle w:val="ListBullet"/>
      </w:pPr>
      <w:r>
        <w:t xml:space="preserve">Use </w:t>
      </w:r>
      <w:r>
        <w:rPr>
          <w:rFonts w:ascii="Cascadia Mono" w:hAnsi="Cascadia Mono"/>
          <w:sz w:val="18"/>
        </w:rPr>
        <w:t>Protocol</w:t>
      </w:r>
      <w:r>
        <w:t xml:space="preserve"> for replaceable behavior and abstract base classes only when shared implementation or lifecycle enforcement is needed.</w:t>
      </w:r>
    </w:p>
    <w:p>
      <w:pPr>
        <w:pStyle w:val="ListBullet"/>
      </w:pPr>
      <w:r>
        <w:t xml:space="preserve">Use </w:t>
      </w:r>
      <w:r>
        <w:rPr>
          <w:rFonts w:ascii="Cascadia Mono" w:hAnsi="Cascadia Mono"/>
          <w:sz w:val="18"/>
        </w:rPr>
        <w:t>NewType</w:t>
      </w:r>
      <w:r>
        <w:t xml:space="preserve"> or small value classes for IDs only when it prevents real boundary mistakes. Avoid wrapping every string.</w:t>
      </w:r>
    </w:p>
    <w:p>
      <w:pPr>
        <w:pStyle w:val="ListBullet"/>
      </w:pPr>
      <w:r>
        <w:t xml:space="preserve">Keep JSON-compatible values under one recursive </w:t>
      </w:r>
      <w:r>
        <w:rPr>
          <w:rFonts w:ascii="Cascadia Mono" w:hAnsi="Cascadia Mono"/>
          <w:sz w:val="18"/>
        </w:rPr>
        <w:t>JSONValue</w:t>
      </w:r>
      <w:r>
        <w:t xml:space="preserve"> alias. Validate at persistence and callback boundaries.</w:t>
      </w:r>
    </w:p>
    <w:p>
      <w:pPr>
        <w:pStyle w:val="ListBullet"/>
      </w:pPr>
      <w:r>
        <w:t xml:space="preserve">Avoid </w:t>
      </w:r>
      <w:r>
        <w:rPr>
          <w:rFonts w:ascii="Cascadia Mono" w:hAnsi="Cascadia Mono"/>
          <w:sz w:val="18"/>
        </w:rPr>
        <w:t>Any</w:t>
      </w:r>
      <w:r>
        <w:t>. A narrow use at a third-party boundary must be contained, validated, and documented with a targeted type ignore.</w:t>
      </w:r>
    </w:p>
    <w:p>
      <w:pPr>
        <w:pStyle w:val="ListBullet"/>
      </w:pPr>
      <w:r>
        <w:t xml:space="preserve">Use </w:t>
      </w:r>
      <w:r>
        <w:rPr>
          <w:rFonts w:ascii="Cascadia Mono" w:hAnsi="Cascadia Mono"/>
          <w:sz w:val="18"/>
        </w:rPr>
        <w:t>Literal</w:t>
      </w:r>
      <w:r>
        <w:t xml:space="preserve"> or enums for closed states. Persist enum values as stable lowercase strings.</w:t>
      </w:r>
    </w:p>
    <w:p>
      <w:pPr>
        <w:pStyle w:val="ListBullet"/>
      </w:pPr>
      <w:r>
        <w:t>Never expose database row tuples as domain models.</w:t>
      </w:r>
    </w:p>
    <w:p>
      <w:pPr>
        <w:pStyle w:val="Heading1"/>
      </w:pPr>
      <w:r>
        <w:t>Async design</w:t>
      </w:r>
    </w:p>
    <w:p>
      <w:r>
        <w:t>Internals are asynchronous. Blocking provider SDKs, CPU-heavy local evaluators, and filesystem work must run in bounded worker threads or processes. Every blocking bridge is visible in the code and has cancellation behavior.</w:t>
      </w:r>
    </w:p>
    <w:p>
      <w:pPr>
        <w:pStyle w:val="Heading2"/>
      </w:pPr>
      <w:r>
        <w:t>Rules</w:t>
      </w:r>
    </w:p>
    <w:p>
      <w:pPr>
        <w:spacing w:after="50" w:line="269" w:lineRule="auto"/>
        <w:ind w:left="115"/>
      </w:pPr>
      <w:r>
        <w:t xml:space="preserve">1. </w:t>
      </w:r>
      <w:r>
        <w:t>Async functions must not call blocking network or disk APIs directly.</w:t>
      </w:r>
      <w:r>
        <w:br/>
      </w:r>
      <w:r>
        <w:t xml:space="preserve">2. </w:t>
      </w:r>
      <w:r>
        <w:t xml:space="preserve">Concurrency is bounded by package-owned semaphores derived from </w:t>
      </w:r>
      <w:r>
        <w:rPr>
          <w:rFonts w:ascii="Cascadia Mono" w:hAnsi="Cascadia Mono"/>
          <w:sz w:val="18"/>
        </w:rPr>
        <w:t>OptimizationConfig</w:t>
      </w:r>
      <w:r>
        <w:t>.</w:t>
      </w:r>
      <w:r>
        <w:br/>
      </w:r>
      <w:r>
        <w:t xml:space="preserve">3. </w:t>
      </w:r>
      <w:r>
        <w:t>Use structured task groups where available; on Python 3.10 use a compatibility abstraction with the same cancellation semantics.</w:t>
      </w:r>
      <w:r>
        <w:br/>
      </w:r>
      <w:r>
        <w:t xml:space="preserve">4. </w:t>
      </w:r>
      <w:r>
        <w:t xml:space="preserve">Cancellation is control flow, not an ordinary error. Re-raise </w:t>
      </w:r>
      <w:r>
        <w:rPr>
          <w:rFonts w:ascii="Cascadia Mono" w:hAnsi="Cascadia Mono"/>
          <w:sz w:val="18"/>
        </w:rPr>
        <w:t>CancelledError</w:t>
      </w:r>
      <w:r>
        <w:t xml:space="preserve"> after shielded cleanup.</w:t>
      </w:r>
      <w:r>
        <w:br/>
      </w:r>
      <w:r>
        <w:t xml:space="preserve">5. </w:t>
      </w:r>
      <w:r>
        <w:t>Timeouts wrap the narrowest meaningful operation. A provider timeout and a whole-trial timeout are separate events.</w:t>
      </w:r>
      <w:r>
        <w:br/>
      </w:r>
      <w:r>
        <w:t xml:space="preserve">6. </w:t>
      </w:r>
      <w:r>
        <w:t xml:space="preserve">The sync wrapper never patches a running loop and never depends on </w:t>
      </w:r>
      <w:r>
        <w:rPr>
          <w:rFonts w:ascii="Cascadia Mono" w:hAnsi="Cascadia Mono"/>
          <w:sz w:val="18"/>
        </w:rPr>
        <w:t>nest_asyncio</w:t>
      </w:r>
      <w:r>
        <w:t>.</w:t>
      </w:r>
      <w:r>
        <w:br/>
      </w:r>
      <w:r>
        <w:t xml:space="preserve">7. </w:t>
      </w:r>
      <w:r>
        <w:t>Callback dispatch must not hold store transactions or scheduler locks.</w:t>
      </w:r>
    </w:p>
    <w:p>
      <w:pPr>
        <w:spacing w:before="80" w:after="140" w:line="240" w:lineRule="auto"/>
        <w:ind w:left="360" w:right="216"/>
      </w:pPr>
      <w:r>
        <w:rPr>
          <w:rFonts w:ascii="Cascadia Mono" w:hAnsi="Cascadia Mono"/>
          <w:sz w:val="17"/>
        </w:rPr>
        <w:t>async with runner.trial_scope(trial) as context:</w:t>
        <w:br/>
      </w:r>
      <w:r>
        <w:rPr>
          <w:rFonts w:ascii="Cascadia Mono" w:hAnsi="Cascadia Mono"/>
          <w:sz w:val="17"/>
        </w:rPr>
        <w:t xml:space="preserve">    prepared = await adapter.aprepare(trial.config, context=context)</w:t>
        <w:br/>
      </w:r>
      <w:r>
        <w:rPr>
          <w:rFonts w:ascii="Cascadia Mono" w:hAnsi="Cascadia Mono"/>
          <w:sz w:val="17"/>
        </w:rPr>
        <w:t xml:space="preserve">    results = await map_bounded(</w:t>
        <w:br/>
      </w:r>
      <w:r>
        <w:rPr>
          <w:rFonts w:ascii="Cascadia Mono" w:hAnsi="Cascadia Mono"/>
          <w:sz w:val="17"/>
        </w:rPr>
        <w:t xml:space="preserve">        dataset.optimize,</w:t>
        <w:br/>
      </w:r>
      <w:r>
        <w:rPr>
          <w:rFonts w:ascii="Cascadia Mono" w:hAnsi="Cascadia Mono"/>
          <w:sz w:val="17"/>
        </w:rPr>
        <w:t xml:space="preserve">        limit=config.sample_concurrency,</w:t>
        <w:br/>
      </w:r>
      <w:r>
        <w:rPr>
          <w:rFonts w:ascii="Cascadia Mono" w:hAnsi="Cascadia Mono"/>
          <w:sz w:val="17"/>
        </w:rPr>
        <w:t xml:space="preserve">        function=lambda sample: adapter.arun(</w:t>
        <w:br/>
      </w:r>
      <w:r>
        <w:rPr>
          <w:rFonts w:ascii="Cascadia Mono" w:hAnsi="Cascadia Mono"/>
          <w:sz w:val="17"/>
        </w:rPr>
        <w:t xml:space="preserve">            sample.query, trial.config, sample=sample, context=context</w:t>
        <w:br/>
      </w:r>
      <w:r>
        <w:rPr>
          <w:rFonts w:ascii="Cascadia Mono" w:hAnsi="Cascadia Mono"/>
          <w:sz w:val="17"/>
        </w:rPr>
        <w:t xml:space="preserve">        ),</w:t>
        <w:br/>
      </w:r>
      <w:r>
        <w:rPr>
          <w:rFonts w:ascii="Cascadia Mono" w:hAnsi="Cascadia Mono"/>
          <w:sz w:val="17"/>
        </w:rPr>
        <w:t xml:space="preserve">    )</w:t>
      </w:r>
    </w:p>
    <w:p>
      <w:pPr>
        <w:pStyle w:val="Heading1"/>
      </w:pPr>
      <w:r>
        <w:t>Exceptions and error handling</w:t>
      </w:r>
    </w:p>
    <w:p>
      <w:r>
        <w:t xml:space="preserve">Raise package exceptions at package boundaries and preserve original causes with </w:t>
      </w:r>
      <w:r>
        <w:rPr>
          <w:rFonts w:ascii="Cascadia Mono" w:hAnsi="Cascadia Mono"/>
          <w:sz w:val="18"/>
        </w:rPr>
        <w:t>raise ... from exc</w:t>
      </w:r>
      <w:r>
        <w:t xml:space="preserve">. Use result objects for expected per-item outcomes only when callers must aggregate success and failure; do not return </w:t>
      </w:r>
      <w:r>
        <w:rPr>
          <w:rFonts w:ascii="Cascadia Mono" w:hAnsi="Cascadia Mono"/>
          <w:sz w:val="18"/>
        </w:rPr>
        <w:t>None</w:t>
      </w:r>
      <w:r>
        <w:t xml:space="preserve"> to hide an error.</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Situation</w:t>
            </w:r>
          </w:p>
        </w:tc>
        <w:tc>
          <w:tcPr>
            <w:tcW w:type="dxa" w:w="4997"/>
            <w:shd w:fill="17324D"/>
            <w:tcMar>
              <w:top w:w="115" w:type="dxa"/>
              <w:start w:w="120" w:type="dxa"/>
              <w:bottom w:w="115" w:type="dxa"/>
              <w:end w:w="120" w:type="dxa"/>
            </w:tcMar>
            <w:vAlign w:val="center"/>
          </w:tcPr>
          <w:p>
            <w:r>
              <w:rPr>
                <w:b/>
                <w:color w:val="FFFFFF"/>
                <w:sz w:val="18"/>
              </w:rPr>
              <w:t>Required behavior</w:t>
            </w:r>
          </w:p>
        </w:tc>
      </w:tr>
      <w:tr>
        <w:tc>
          <w:tcPr>
            <w:tcW w:type="dxa" w:w="4997"/>
            <w:tcMar>
              <w:top w:w="100" w:type="dxa"/>
              <w:start w:w="120" w:type="dxa"/>
              <w:bottom w:w="100" w:type="dxa"/>
              <w:end w:w="120" w:type="dxa"/>
            </w:tcMar>
            <w:vAlign w:val="center"/>
          </w:tcPr>
          <w:p>
            <w:pPr>
              <w:spacing w:after="0" w:line="240" w:lineRule="auto"/>
            </w:pPr>
            <w:r>
              <w:rPr>
                <w:sz w:val="17"/>
              </w:rPr>
              <w:t>Invalid user configuration</w:t>
            </w:r>
          </w:p>
        </w:tc>
        <w:tc>
          <w:tcPr>
            <w:tcW w:type="dxa" w:w="4997"/>
            <w:tcMar>
              <w:top w:w="100" w:type="dxa"/>
              <w:start w:w="120" w:type="dxa"/>
              <w:bottom w:w="100" w:type="dxa"/>
              <w:end w:w="120" w:type="dxa"/>
            </w:tcMar>
            <w:vAlign w:val="center"/>
          </w:tcPr>
          <w:p>
            <w:pPr>
              <w:spacing w:after="0" w:line="240" w:lineRule="auto"/>
            </w:pPr>
            <w:r>
              <w:rPr>
                <w:sz w:val="17"/>
              </w:rPr>
              <w:t>Raise `ConfigurationError` before creating durable state</w:t>
            </w:r>
          </w:p>
        </w:tc>
      </w:tr>
      <w:tr>
        <w:tc>
          <w:tcPr>
            <w:tcW w:type="dxa" w:w="4997"/>
            <w:tcMar>
              <w:top w:w="100" w:type="dxa"/>
              <w:start w:w="120" w:type="dxa"/>
              <w:bottom w:w="100" w:type="dxa"/>
              <w:end w:w="120" w:type="dxa"/>
            </w:tcMar>
            <w:vAlign w:val="center"/>
            <w:shd w:fill="F5F7F8"/>
          </w:tcPr>
          <w:p>
            <w:pPr>
              <w:spacing w:after="0" w:line="240" w:lineRule="auto"/>
            </w:pPr>
            <w:r>
              <w:rPr>
                <w:sz w:val="17"/>
              </w:rPr>
              <w:t>Invalid strategy candidate</w:t>
            </w:r>
          </w:p>
        </w:tc>
        <w:tc>
          <w:tcPr>
            <w:tcW w:type="dxa" w:w="4997"/>
            <w:tcMar>
              <w:top w:w="100" w:type="dxa"/>
              <w:start w:w="120" w:type="dxa"/>
              <w:bottom w:w="100" w:type="dxa"/>
              <w:end w:w="120" w:type="dxa"/>
            </w:tcMar>
            <w:vAlign w:val="center"/>
            <w:shd w:fill="F5F7F8"/>
          </w:tcPr>
          <w:p>
            <w:pPr>
              <w:spacing w:after="0" w:line="240" w:lineRule="auto"/>
            </w:pPr>
            <w:r>
              <w:rPr>
                <w:sz w:val="17"/>
              </w:rPr>
              <w:t>Record rejection, request replacement, enforce rejection limit</w:t>
            </w:r>
          </w:p>
        </w:tc>
      </w:tr>
      <w:tr>
        <w:tc>
          <w:tcPr>
            <w:tcW w:type="dxa" w:w="4997"/>
            <w:tcMar>
              <w:top w:w="100" w:type="dxa"/>
              <w:start w:w="120" w:type="dxa"/>
              <w:bottom w:w="100" w:type="dxa"/>
              <w:end w:w="120" w:type="dxa"/>
            </w:tcMar>
            <w:vAlign w:val="center"/>
          </w:tcPr>
          <w:p>
            <w:pPr>
              <w:spacing w:after="0" w:line="240" w:lineRule="auto"/>
            </w:pPr>
            <w:r>
              <w:rPr>
                <w:sz w:val="17"/>
              </w:rPr>
              <w:t>One sample fails after retries</w:t>
            </w:r>
          </w:p>
        </w:tc>
        <w:tc>
          <w:tcPr>
            <w:tcW w:type="dxa" w:w="4997"/>
            <w:tcMar>
              <w:top w:w="100" w:type="dxa"/>
              <w:start w:w="120" w:type="dxa"/>
              <w:bottom w:w="100" w:type="dxa"/>
              <w:end w:w="120" w:type="dxa"/>
            </w:tcMar>
            <w:vAlign w:val="center"/>
          </w:tcPr>
          <w:p>
            <w:pPr>
              <w:spacing w:after="0" w:line="240" w:lineRule="auto"/>
            </w:pPr>
            <w:r>
              <w:rPr>
                <w:sz w:val="17"/>
              </w:rPr>
              <w:t>Record sample failure and apply trial failure policy</w:t>
            </w:r>
          </w:p>
        </w:tc>
      </w:tr>
      <w:tr>
        <w:tc>
          <w:tcPr>
            <w:tcW w:type="dxa" w:w="4997"/>
            <w:tcMar>
              <w:top w:w="100" w:type="dxa"/>
              <w:start w:w="120" w:type="dxa"/>
              <w:bottom w:w="100" w:type="dxa"/>
              <w:end w:w="120" w:type="dxa"/>
            </w:tcMar>
            <w:vAlign w:val="center"/>
            <w:shd w:fill="F5F7F8"/>
          </w:tcPr>
          <w:p>
            <w:pPr>
              <w:spacing w:after="0" w:line="240" w:lineRule="auto"/>
            </w:pPr>
            <w:r>
              <w:rPr>
                <w:sz w:val="17"/>
              </w:rPr>
              <w:t>One trial fails</w:t>
            </w:r>
          </w:p>
        </w:tc>
        <w:tc>
          <w:tcPr>
            <w:tcW w:type="dxa" w:w="4997"/>
            <w:tcMar>
              <w:top w:w="100" w:type="dxa"/>
              <w:start w:w="120" w:type="dxa"/>
              <w:bottom w:w="100" w:type="dxa"/>
              <w:end w:w="120" w:type="dxa"/>
            </w:tcMar>
            <w:vAlign w:val="center"/>
            <w:shd w:fill="F5F7F8"/>
          </w:tcPr>
          <w:p>
            <w:pPr>
              <w:spacing w:after="0" w:line="240" w:lineRule="auto"/>
            </w:pPr>
            <w:r>
              <w:rPr>
                <w:sz w:val="17"/>
              </w:rPr>
              <w:t>Mark terminal failure and continue unless fail-fast or systemic threshold fires</w:t>
            </w:r>
          </w:p>
        </w:tc>
      </w:tr>
      <w:tr>
        <w:tc>
          <w:tcPr>
            <w:tcW w:type="dxa" w:w="4997"/>
            <w:tcMar>
              <w:top w:w="100" w:type="dxa"/>
              <w:start w:w="120" w:type="dxa"/>
              <w:bottom w:w="100" w:type="dxa"/>
              <w:end w:w="120" w:type="dxa"/>
            </w:tcMar>
            <w:vAlign w:val="center"/>
          </w:tcPr>
          <w:p>
            <w:pPr>
              <w:spacing w:after="0" w:line="240" w:lineRule="auto"/>
            </w:pPr>
            <w:r>
              <w:rPr>
                <w:sz w:val="17"/>
              </w:rPr>
              <w:t>Store commit fails</w:t>
            </w:r>
          </w:p>
        </w:tc>
        <w:tc>
          <w:tcPr>
            <w:tcW w:type="dxa" w:w="4997"/>
            <w:tcMar>
              <w:top w:w="100" w:type="dxa"/>
              <w:start w:w="120" w:type="dxa"/>
              <w:bottom w:w="100" w:type="dxa"/>
              <w:end w:w="120" w:type="dxa"/>
            </w:tcMar>
            <w:vAlign w:val="center"/>
          </w:tcPr>
          <w:p>
            <w:pPr>
              <w:spacing w:after="0" w:line="240" w:lineRule="auto"/>
            </w:pPr>
            <w:r>
              <w:rPr>
                <w:sz w:val="17"/>
              </w:rPr>
              <w:t>Do not emit completion event; retry only classified transient errors</w:t>
            </w:r>
          </w:p>
        </w:tc>
      </w:tr>
      <w:tr>
        <w:tc>
          <w:tcPr>
            <w:tcW w:type="dxa" w:w="4997"/>
            <w:tcMar>
              <w:top w:w="100" w:type="dxa"/>
              <w:start w:w="120" w:type="dxa"/>
              <w:bottom w:w="100" w:type="dxa"/>
              <w:end w:w="120" w:type="dxa"/>
            </w:tcMar>
            <w:vAlign w:val="center"/>
            <w:shd w:fill="F5F7F8"/>
          </w:tcPr>
          <w:p>
            <w:pPr>
              <w:spacing w:after="0" w:line="240" w:lineRule="auto"/>
            </w:pPr>
            <w:r>
              <w:rPr>
                <w:sz w:val="17"/>
              </w:rPr>
              <w:t>Callback fails</w:t>
            </w:r>
          </w:p>
        </w:tc>
        <w:tc>
          <w:tcPr>
            <w:tcW w:type="dxa" w:w="4997"/>
            <w:tcMar>
              <w:top w:w="100" w:type="dxa"/>
              <w:start w:w="120" w:type="dxa"/>
              <w:bottom w:w="100" w:type="dxa"/>
              <w:end w:w="120" w:type="dxa"/>
            </w:tcMar>
            <w:vAlign w:val="center"/>
            <w:shd w:fill="F5F7F8"/>
          </w:tcPr>
          <w:p>
            <w:pPr>
              <w:spacing w:after="0" w:line="240" w:lineRule="auto"/>
            </w:pPr>
            <w:r>
              <w:rPr>
                <w:sz w:val="17"/>
              </w:rPr>
              <w:t>Record callback error; isolate unless callback is critical</w:t>
            </w:r>
          </w:p>
        </w:tc>
      </w:tr>
      <w:tr>
        <w:tc>
          <w:tcPr>
            <w:tcW w:type="dxa" w:w="4997"/>
            <w:tcMar>
              <w:top w:w="100" w:type="dxa"/>
              <w:start w:w="120" w:type="dxa"/>
              <w:bottom w:w="100" w:type="dxa"/>
              <w:end w:w="120" w:type="dxa"/>
            </w:tcMar>
            <w:vAlign w:val="center"/>
          </w:tcPr>
          <w:p>
            <w:pPr>
              <w:spacing w:after="0" w:line="240" w:lineRule="auto"/>
            </w:pPr>
            <w:r>
              <w:rPr>
                <w:sz w:val="17"/>
              </w:rPr>
              <w:t>Cancellation</w:t>
            </w:r>
          </w:p>
        </w:tc>
        <w:tc>
          <w:tcPr>
            <w:tcW w:type="dxa" w:w="4997"/>
            <w:tcMar>
              <w:top w:w="100" w:type="dxa"/>
              <w:start w:w="120" w:type="dxa"/>
              <w:bottom w:w="100" w:type="dxa"/>
              <w:end w:w="120" w:type="dxa"/>
            </w:tcMar>
            <w:vAlign w:val="center"/>
          </w:tcPr>
          <w:p>
            <w:pPr>
              <w:spacing w:after="0" w:line="240" w:lineRule="auto"/>
            </w:pPr>
            <w:r>
              <w:rPr>
                <w:sz w:val="17"/>
              </w:rPr>
              <w:t>Persist cancellation intent and stop scheduling new work</w:t>
            </w:r>
          </w:p>
        </w:tc>
      </w:tr>
    </w:tbl>
    <w:p>
      <w:pPr>
        <w:spacing w:after="20"/>
      </w:pPr>
    </w:p>
    <w:p>
      <w:r>
        <w:t>Error messages state the failed operation, relevant public identifier, and corrective action when known. They exclude API keys, complete prompts, document text, and provider authorization headers. Error codes remain stable even if prose changes.</w:t>
      </w:r>
    </w:p>
    <w:p>
      <w:pPr>
        <w:pStyle w:val="Heading1"/>
      </w:pPr>
      <w:r>
        <w:t>Logging and events</w:t>
      </w:r>
    </w:p>
    <w:p>
      <w:r>
        <w:t xml:space="preserve">Library code uses a named logger under </w:t>
      </w:r>
      <w:r>
        <w:rPr>
          <w:rFonts w:ascii="Cascadia Mono" w:hAnsi="Cascadia Mono"/>
          <w:sz w:val="18"/>
        </w:rPr>
        <w:t>autorag_tuner</w:t>
      </w:r>
      <w:r>
        <w:t xml:space="preserve"> and never configures global handlers. INFO records lifecycle transitions; DEBUG records bounded diagnostic fields; WARNING records recoverable degraded behavior; ERROR records terminal component failures. Routine trial failure is not automatically a package-level ERROR if isolation works as designed.</w:t>
      </w:r>
    </w:p>
    <w:p>
      <w:r>
        <w:t xml:space="preserve">Structured logging fields include </w:t>
      </w:r>
      <w:r>
        <w:rPr>
          <w:rFonts w:ascii="Cascadia Mono" w:hAnsi="Cascadia Mono"/>
          <w:sz w:val="18"/>
        </w:rPr>
        <w:t>study_id</w:t>
      </w:r>
      <w:r>
        <w:t xml:space="preserve">, </w:t>
      </w:r>
      <w:r>
        <w:rPr>
          <w:rFonts w:ascii="Cascadia Mono" w:hAnsi="Cascadia Mono"/>
          <w:sz w:val="18"/>
        </w:rPr>
        <w:t>trial_id</w:t>
      </w:r>
      <w:r>
        <w:t xml:space="preserve">, </w:t>
      </w:r>
      <w:r>
        <w:rPr>
          <w:rFonts w:ascii="Cascadia Mono" w:hAnsi="Cascadia Mono"/>
          <w:sz w:val="18"/>
        </w:rPr>
        <w:t>sample_id</w:t>
      </w:r>
      <w:r>
        <w:t xml:space="preserve">, </w:t>
      </w:r>
      <w:r>
        <w:rPr>
          <w:rFonts w:ascii="Cascadia Mono" w:hAnsi="Cascadia Mono"/>
          <w:sz w:val="18"/>
        </w:rPr>
        <w:t>attempt</w:t>
      </w:r>
      <w:r>
        <w:t xml:space="preserve">, </w:t>
      </w:r>
      <w:r>
        <w:rPr>
          <w:rFonts w:ascii="Cascadia Mono" w:hAnsi="Cascadia Mono"/>
          <w:sz w:val="18"/>
        </w:rPr>
        <w:t>stage</w:t>
      </w:r>
      <w:r>
        <w:t xml:space="preserve">, </w:t>
      </w:r>
      <w:r>
        <w:rPr>
          <w:rFonts w:ascii="Cascadia Mono" w:hAnsi="Cascadia Mono"/>
          <w:sz w:val="18"/>
        </w:rPr>
        <w:t>strategy</w:t>
      </w:r>
      <w:r>
        <w:t xml:space="preserve">, </w:t>
      </w:r>
      <w:r>
        <w:rPr>
          <w:rFonts w:ascii="Cascadia Mono" w:hAnsi="Cascadia Mono"/>
          <w:sz w:val="18"/>
        </w:rPr>
        <w:t>evaluator</w:t>
      </w:r>
      <w:r>
        <w:t xml:space="preserve">, and </w:t>
      </w:r>
      <w:r>
        <w:rPr>
          <w:rFonts w:ascii="Cascadia Mono" w:hAnsi="Cascadia Mono"/>
          <w:sz w:val="18"/>
        </w:rPr>
        <w:t>duration_ms</w:t>
      </w:r>
      <w:r>
        <w:t xml:space="preserve"> where applicable. Messages are useful without structured fields. Do not log query or document content by default. A separate redaction policy controls opt-in content logging.</w:t>
      </w:r>
    </w:p>
    <w:p>
      <w:r>
        <w:t>Events are the supported observability interface. Logs aid operations but are not a state or integration API.</w:t>
      </w:r>
    </w:p>
    <w:p>
      <w:pPr>
        <w:pStyle w:val="Heading1"/>
      </w:pPr>
      <w:r>
        <w:t>Docstrings and comments</w:t>
      </w:r>
    </w:p>
    <w:p>
      <w:r>
        <w:t>Public objects use concise Google-style docstrings containing purpose, important semantics, arguments that are not obvious from types, returns, raised package exceptions, and a short example when usage is nontrivial. Do not repeat every field annotation in prose.</w:t>
      </w:r>
    </w:p>
    <w:p>
      <w:pPr>
        <w:spacing w:before="80" w:after="140" w:line="240" w:lineRule="auto"/>
        <w:ind w:left="360" w:right="216"/>
      </w:pPr>
      <w:r>
        <w:rPr>
          <w:rFonts w:ascii="Cascadia Mono" w:hAnsi="Cascadia Mono"/>
          <w:sz w:val="17"/>
        </w:rPr>
        <w:t>async def aoptimize(...):</w:t>
        <w:br/>
      </w:r>
      <w:r>
        <w:rPr>
          <w:rFonts w:ascii="Cascadia Mono" w:hAnsi="Cascadia Mono"/>
          <w:sz w:val="17"/>
        </w:rPr>
        <w:t xml:space="preserve">    """Run or resume an optimization study.</w:t>
        <w:br/>
      </w:r>
      <w:r>
        <w:rPr>
          <w:rFonts w:ascii="Cascadia Mono" w:hAnsi="Cascadia Mono"/>
          <w:sz w:val="17"/>
        </w:rPr>
        <w:br/>
      </w:r>
      <w:r>
        <w:rPr>
          <w:rFonts w:ascii="Cascadia Mono" w:hAnsi="Cascadia Mono"/>
          <w:sz w:val="17"/>
        </w:rPr>
        <w:t xml:space="preserve">    The method persists each terminal trial before the strategy observes it,</w:t>
        <w:br/>
      </w:r>
      <w:r>
        <w:rPr>
          <w:rFonts w:ascii="Cascadia Mono" w:hAnsi="Cascadia Mono"/>
          <w:sz w:val="17"/>
        </w:rPr>
        <w:t xml:space="preserve">    which makes a resumed strategy reconstructable from durable history.</w:t>
        <w:br/>
      </w:r>
      <w:r>
        <w:rPr>
          <w:rFonts w:ascii="Cascadia Mono" w:hAnsi="Cascadia Mono"/>
          <w:sz w:val="17"/>
        </w:rPr>
        <w:br/>
      </w:r>
      <w:r>
        <w:rPr>
          <w:rFonts w:ascii="Cascadia Mono" w:hAnsi="Cascadia Mono"/>
          <w:sz w:val="17"/>
        </w:rPr>
        <w:t xml:space="preserve">    Raises:</w:t>
        <w:br/>
      </w:r>
      <w:r>
        <w:rPr>
          <w:rFonts w:ascii="Cascadia Mono" w:hAnsi="Cascadia Mono"/>
          <w:sz w:val="17"/>
        </w:rPr>
        <w:t xml:space="preserve">        ResumeError: If the requested study is incompatible with the dataset,</w:t>
        <w:br/>
      </w:r>
      <w:r>
        <w:rPr>
          <w:rFonts w:ascii="Cascadia Mono" w:hAnsi="Cascadia Mono"/>
          <w:sz w:val="17"/>
        </w:rPr>
        <w:t xml:space="preserve">            search space, adapter fingerprint, or objective definition.</w:t>
        <w:br/>
      </w:r>
      <w:r>
        <w:rPr>
          <w:rFonts w:ascii="Cascadia Mono" w:hAnsi="Cascadia Mono"/>
          <w:sz w:val="17"/>
        </w:rPr>
        <w:t xml:space="preserve">    """</w:t>
      </w:r>
    </w:p>
    <w:p>
      <w:r>
        <w:t>Comments explain a non-obvious constraint, invariant, compatibility workaround, or rejected alternative. Do not narrate syntax. Link issue numbers only when the comment remains understandable without access to the issue tracker.</w:t>
      </w:r>
    </w:p>
    <w:p>
      <w:pPr>
        <w:pStyle w:val="Heading1"/>
      </w:pPr>
      <w:r>
        <w:t>Dependency boundaries</w:t>
      </w:r>
    </w:p>
    <w:p>
      <w:r>
        <w:t>Core domain and orchestration modules cannot import RAGAS, MLflow, LangChain, LlamaIndex, provider SDKs, or CLI presentation libraries. Integrations depend inward on protocols and domain models. The core never uses integration-specific exception classes.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Layer</w:t>
            </w:r>
          </w:p>
        </w:tc>
        <w:tc>
          <w:tcPr>
            <w:tcW w:type="dxa" w:w="3331"/>
            <w:shd w:fill="17324D"/>
            <w:tcMar>
              <w:top w:w="115" w:type="dxa"/>
              <w:start w:w="120" w:type="dxa"/>
              <w:bottom w:w="115" w:type="dxa"/>
              <w:end w:w="120" w:type="dxa"/>
            </w:tcMar>
            <w:vAlign w:val="center"/>
          </w:tcPr>
          <w:p>
            <w:r>
              <w:rPr>
                <w:b/>
                <w:color w:val="FFFFFF"/>
                <w:sz w:val="18"/>
              </w:rPr>
              <w:t>May depend on</w:t>
            </w:r>
          </w:p>
        </w:tc>
        <w:tc>
          <w:tcPr>
            <w:tcW w:type="dxa" w:w="3331"/>
            <w:shd w:fill="17324D"/>
            <w:tcMar>
              <w:top w:w="115" w:type="dxa"/>
              <w:start w:w="120" w:type="dxa"/>
              <w:bottom w:w="115" w:type="dxa"/>
              <w:end w:w="120" w:type="dxa"/>
            </w:tcMar>
            <w:vAlign w:val="center"/>
          </w:tcPr>
          <w:p>
            <w:r>
              <w:rPr>
                <w:b/>
                <w:color w:val="FFFFFF"/>
                <w:sz w:val="18"/>
              </w:rPr>
              <w:t>Must not depend on</w:t>
            </w:r>
          </w:p>
        </w:tc>
      </w:tr>
      <w:tr>
        <w:tc>
          <w:tcPr>
            <w:tcW w:type="dxa" w:w="3331"/>
            <w:tcMar>
              <w:top w:w="100" w:type="dxa"/>
              <w:start w:w="120" w:type="dxa"/>
              <w:bottom w:w="100" w:type="dxa"/>
              <w:end w:w="120" w:type="dxa"/>
            </w:tcMar>
            <w:vAlign w:val="center"/>
          </w:tcPr>
          <w:p>
            <w:pPr>
              <w:spacing w:after="0" w:line="240" w:lineRule="auto"/>
            </w:pPr>
            <w:r>
              <w:rPr>
                <w:sz w:val="17"/>
              </w:rPr>
              <w:t>Domain models</w:t>
            </w:r>
          </w:p>
        </w:tc>
        <w:tc>
          <w:tcPr>
            <w:tcW w:type="dxa" w:w="3331"/>
            <w:tcMar>
              <w:top w:w="100" w:type="dxa"/>
              <w:start w:w="120" w:type="dxa"/>
              <w:bottom w:w="100" w:type="dxa"/>
              <w:end w:w="120" w:type="dxa"/>
            </w:tcMar>
            <w:vAlign w:val="center"/>
          </w:tcPr>
          <w:p>
            <w:pPr>
              <w:spacing w:after="0" w:line="240" w:lineRule="auto"/>
            </w:pPr>
            <w:r>
              <w:rPr>
                <w:sz w:val="17"/>
              </w:rPr>
              <w:t>Standard library and validation library</w:t>
            </w:r>
          </w:p>
        </w:tc>
        <w:tc>
          <w:tcPr>
            <w:tcW w:type="dxa" w:w="3331"/>
            <w:tcMar>
              <w:top w:w="100" w:type="dxa"/>
              <w:start w:w="120" w:type="dxa"/>
              <w:bottom w:w="100" w:type="dxa"/>
              <w:end w:w="120" w:type="dxa"/>
            </w:tcMar>
            <w:vAlign w:val="center"/>
          </w:tcPr>
          <w:p>
            <w:pPr>
              <w:spacing w:after="0" w:line="240" w:lineRule="auto"/>
            </w:pPr>
            <w:r>
              <w:rPr>
                <w:sz w:val="17"/>
              </w:rPr>
              <w:t>Store, integrations, CLI</w:t>
            </w:r>
          </w:p>
        </w:tc>
      </w:tr>
      <w:tr>
        <w:tc>
          <w:tcPr>
            <w:tcW w:type="dxa" w:w="3331"/>
            <w:tcMar>
              <w:top w:w="100" w:type="dxa"/>
              <w:start w:w="120" w:type="dxa"/>
              <w:bottom w:w="100" w:type="dxa"/>
              <w:end w:w="120" w:type="dxa"/>
            </w:tcMar>
            <w:vAlign w:val="center"/>
            <w:shd w:fill="F5F7F8"/>
          </w:tcPr>
          <w:p>
            <w:pPr>
              <w:spacing w:after="0" w:line="240" w:lineRule="auto"/>
            </w:pPr>
            <w:r>
              <w:rPr>
                <w:sz w:val="17"/>
              </w:rPr>
              <w:t>Core orchestration</w:t>
            </w:r>
          </w:p>
        </w:tc>
        <w:tc>
          <w:tcPr>
            <w:tcW w:type="dxa" w:w="3331"/>
            <w:tcMar>
              <w:top w:w="100" w:type="dxa"/>
              <w:start w:w="120" w:type="dxa"/>
              <w:bottom w:w="100" w:type="dxa"/>
              <w:end w:w="120" w:type="dxa"/>
            </w:tcMar>
            <w:vAlign w:val="center"/>
            <w:shd w:fill="F5F7F8"/>
          </w:tcPr>
          <w:p>
            <w:pPr>
              <w:spacing w:after="0" w:line="240" w:lineRule="auto"/>
            </w:pPr>
            <w:r>
              <w:rPr>
                <w:sz w:val="17"/>
              </w:rPr>
              <w:t>Domain protocols and utility abstractions</w:t>
            </w:r>
          </w:p>
        </w:tc>
        <w:tc>
          <w:tcPr>
            <w:tcW w:type="dxa" w:w="3331"/>
            <w:tcMar>
              <w:top w:w="100" w:type="dxa"/>
              <w:start w:w="120" w:type="dxa"/>
              <w:bottom w:w="100" w:type="dxa"/>
              <w:end w:w="120" w:type="dxa"/>
            </w:tcMar>
            <w:vAlign w:val="center"/>
            <w:shd w:fill="F5F7F8"/>
          </w:tcPr>
          <w:p>
            <w:pPr>
              <w:spacing w:after="0" w:line="240" w:lineRule="auto"/>
            </w:pPr>
            <w:r>
              <w:rPr>
                <w:sz w:val="17"/>
              </w:rPr>
              <w:t>RAGAS, MLflow, provider SDKs</w:t>
            </w:r>
          </w:p>
        </w:tc>
      </w:tr>
      <w:tr>
        <w:tc>
          <w:tcPr>
            <w:tcW w:type="dxa" w:w="3331"/>
            <w:tcMar>
              <w:top w:w="100" w:type="dxa"/>
              <w:start w:w="120" w:type="dxa"/>
              <w:bottom w:w="100" w:type="dxa"/>
              <w:end w:w="120" w:type="dxa"/>
            </w:tcMar>
            <w:vAlign w:val="center"/>
          </w:tcPr>
          <w:p>
            <w:pPr>
              <w:spacing w:after="0" w:line="240" w:lineRule="auto"/>
            </w:pPr>
            <w:r>
              <w:rPr>
                <w:sz w:val="17"/>
              </w:rPr>
              <w:t>Persistence</w:t>
            </w:r>
          </w:p>
        </w:tc>
        <w:tc>
          <w:tcPr>
            <w:tcW w:type="dxa" w:w="3331"/>
            <w:tcMar>
              <w:top w:w="100" w:type="dxa"/>
              <w:start w:w="120" w:type="dxa"/>
              <w:bottom w:w="100" w:type="dxa"/>
              <w:end w:w="120" w:type="dxa"/>
            </w:tcMar>
            <w:vAlign w:val="center"/>
          </w:tcPr>
          <w:p>
            <w:pPr>
              <w:spacing w:after="0" w:line="240" w:lineRule="auto"/>
            </w:pPr>
            <w:r>
              <w:rPr>
                <w:sz w:val="17"/>
              </w:rPr>
              <w:t>Domain models and store protocol</w:t>
            </w:r>
          </w:p>
        </w:tc>
        <w:tc>
          <w:tcPr>
            <w:tcW w:type="dxa" w:w="3331"/>
            <w:tcMar>
              <w:top w:w="100" w:type="dxa"/>
              <w:start w:w="120" w:type="dxa"/>
              <w:bottom w:w="100" w:type="dxa"/>
              <w:end w:w="120" w:type="dxa"/>
            </w:tcMar>
            <w:vAlign w:val="center"/>
          </w:tcPr>
          <w:p>
            <w:pPr>
              <w:spacing w:after="0" w:line="240" w:lineRule="auto"/>
            </w:pPr>
            <w:r>
              <w:rPr>
                <w:sz w:val="17"/>
              </w:rPr>
              <w:t>Search strategy implementations</w:t>
            </w:r>
          </w:p>
        </w:tc>
      </w:tr>
      <w:tr>
        <w:tc>
          <w:tcPr>
            <w:tcW w:type="dxa" w:w="3331"/>
            <w:tcMar>
              <w:top w:w="100" w:type="dxa"/>
              <w:start w:w="120" w:type="dxa"/>
              <w:bottom w:w="100" w:type="dxa"/>
              <w:end w:w="120" w:type="dxa"/>
            </w:tcMar>
            <w:vAlign w:val="center"/>
            <w:shd w:fill="F5F7F8"/>
          </w:tcPr>
          <w:p>
            <w:pPr>
              <w:spacing w:after="0" w:line="240" w:lineRule="auto"/>
            </w:pPr>
            <w:r>
              <w:rPr>
                <w:sz w:val="17"/>
              </w:rPr>
              <w:t>Integrations</w:t>
            </w:r>
          </w:p>
        </w:tc>
        <w:tc>
          <w:tcPr>
            <w:tcW w:type="dxa" w:w="3331"/>
            <w:tcMar>
              <w:top w:w="100" w:type="dxa"/>
              <w:start w:w="120" w:type="dxa"/>
              <w:bottom w:w="100" w:type="dxa"/>
              <w:end w:w="120" w:type="dxa"/>
            </w:tcMar>
            <w:vAlign w:val="center"/>
            <w:shd w:fill="F5F7F8"/>
          </w:tcPr>
          <w:p>
            <w:pPr>
              <w:spacing w:after="0" w:line="240" w:lineRule="auto"/>
            </w:pPr>
            <w:r>
              <w:rPr>
                <w:sz w:val="17"/>
              </w:rPr>
              <w:t>Public protocols and optional dependencies</w:t>
            </w:r>
          </w:p>
        </w:tc>
        <w:tc>
          <w:tcPr>
            <w:tcW w:type="dxa" w:w="3331"/>
            <w:tcMar>
              <w:top w:w="100" w:type="dxa"/>
              <w:start w:w="120" w:type="dxa"/>
              <w:bottom w:w="100" w:type="dxa"/>
              <w:end w:w="120" w:type="dxa"/>
            </w:tcMar>
            <w:vAlign w:val="center"/>
            <w:shd w:fill="F5F7F8"/>
          </w:tcPr>
          <w:p>
            <w:pPr>
              <w:spacing w:after="0" w:line="240" w:lineRule="auto"/>
            </w:pPr>
            <w:r>
              <w:rPr>
                <w:sz w:val="17"/>
              </w:rPr>
              <w:t>CLI internals</w:t>
            </w:r>
          </w:p>
        </w:tc>
      </w:tr>
      <w:tr>
        <w:tc>
          <w:tcPr>
            <w:tcW w:type="dxa" w:w="3331"/>
            <w:tcMar>
              <w:top w:w="100" w:type="dxa"/>
              <w:start w:w="120" w:type="dxa"/>
              <w:bottom w:w="100" w:type="dxa"/>
              <w:end w:w="120" w:type="dxa"/>
            </w:tcMar>
            <w:vAlign w:val="center"/>
          </w:tcPr>
          <w:p>
            <w:pPr>
              <w:spacing w:after="0" w:line="240" w:lineRule="auto"/>
            </w:pPr>
            <w:r>
              <w:rPr>
                <w:sz w:val="17"/>
              </w:rPr>
              <w:t>CLI</w:t>
            </w:r>
          </w:p>
        </w:tc>
        <w:tc>
          <w:tcPr>
            <w:tcW w:type="dxa" w:w="3331"/>
            <w:tcMar>
              <w:top w:w="100" w:type="dxa"/>
              <w:start w:w="120" w:type="dxa"/>
              <w:bottom w:w="100" w:type="dxa"/>
              <w:end w:w="120" w:type="dxa"/>
            </w:tcMar>
            <w:vAlign w:val="center"/>
          </w:tcPr>
          <w:p>
            <w:pPr>
              <w:spacing w:after="0" w:line="240" w:lineRule="auto"/>
            </w:pPr>
            <w:r>
              <w:rPr>
                <w:sz w:val="17"/>
              </w:rPr>
              <w:t>Public package API and presentation library</w:t>
            </w:r>
          </w:p>
        </w:tc>
        <w:tc>
          <w:tcPr>
            <w:tcW w:type="dxa" w:w="3331"/>
            <w:tcMar>
              <w:top w:w="100" w:type="dxa"/>
              <w:start w:w="120" w:type="dxa"/>
              <w:bottom w:w="100" w:type="dxa"/>
              <w:end w:w="120" w:type="dxa"/>
            </w:tcMar>
            <w:vAlign w:val="center"/>
          </w:tcPr>
          <w:p>
            <w:pPr>
              <w:spacing w:after="0" w:line="240" w:lineRule="auto"/>
            </w:pPr>
            <w:r>
              <w:rPr>
                <w:sz w:val="17"/>
              </w:rPr>
              <w:t>Private database functions</w:t>
            </w:r>
          </w:p>
        </w:tc>
      </w:tr>
    </w:tbl>
    <w:p>
      <w:pPr>
        <w:spacing w:after="20"/>
      </w:pPr>
    </w:p>
    <w:p>
      <w:r>
        <w:t xml:space="preserve">Optional imports occur inside integration modules or constructors. Missing extras produce </w:t>
      </w:r>
      <w:r>
        <w:rPr>
          <w:rFonts w:ascii="Cascadia Mono" w:hAnsi="Cascadia Mono"/>
          <w:sz w:val="18"/>
        </w:rPr>
        <w:t>MissingOptionalDependencyError</w:t>
      </w:r>
      <w:r>
        <w:t xml:space="preserve">, not raw </w:t>
      </w:r>
      <w:r>
        <w:rPr>
          <w:rFonts w:ascii="Cascadia Mono" w:hAnsi="Cascadia Mono"/>
          <w:sz w:val="18"/>
        </w:rPr>
        <w:t>ImportError</w:t>
      </w:r>
      <w:r>
        <w:t xml:space="preserve"> during base package import.</w:t>
      </w:r>
    </w:p>
    <w:p>
      <w:pPr>
        <w:pStyle w:val="Heading1"/>
      </w:pPr>
      <w:r>
        <w:t>Design patterns</w:t>
      </w:r>
    </w:p>
    <w:p>
      <w:pPr>
        <w:pStyle w:val="ListBullet"/>
      </w:pPr>
      <w:r>
        <w:t>Strategy isolates candidate selection.</w:t>
      </w:r>
    </w:p>
    <w:p>
      <w:pPr>
        <w:pStyle w:val="ListBullet"/>
      </w:pPr>
      <w:r>
        <w:t>Adapter isolates user RAG execution.</w:t>
      </w:r>
    </w:p>
    <w:p>
      <w:pPr>
        <w:pStyle w:val="ListBullet"/>
      </w:pPr>
      <w:r>
        <w:t>Evaluator isolates metric production.</w:t>
      </w:r>
    </w:p>
    <w:p>
      <w:pPr>
        <w:pStyle w:val="ListBullet"/>
      </w:pPr>
      <w:r>
        <w:t>Objective isolates scalar ranking and constraints.</w:t>
      </w:r>
    </w:p>
    <w:p>
      <w:pPr>
        <w:pStyle w:val="ListBullet"/>
      </w:pPr>
      <w:r>
        <w:t>Repository or store protocol isolates persistence.</w:t>
      </w:r>
    </w:p>
    <w:p>
      <w:pPr>
        <w:pStyle w:val="ListBullet"/>
      </w:pPr>
      <w:r>
        <w:t>Immutable event objects implement observation without coupling.</w:t>
      </w:r>
    </w:p>
    <w:p>
      <w:pPr>
        <w:pStyle w:val="ListBullet"/>
      </w:pPr>
      <w:r>
        <w:t>State machines define study and trial transitions.</w:t>
      </w:r>
    </w:p>
    <w:p>
      <w:pPr>
        <w:pStyle w:val="ListBullet"/>
      </w:pPr>
      <w:r>
        <w:t>Capability checks extend protocols without breaking all implementations.</w:t>
      </w:r>
    </w:p>
    <w:p>
      <w:r>
        <w:t>Use factories only when construction requires environment, optional dependency, or provider selection. Avoid service locators, hidden globals, metaclass registries, and inheritance trees used only for code reuse.</w:t>
      </w:r>
    </w:p>
    <w:p>
      <w:pPr>
        <w:pStyle w:val="Heading1"/>
      </w:pPr>
      <w:r>
        <w:t>Testing conventions</w:t>
      </w:r>
    </w:p>
    <w:p>
      <w:r>
        <w:t>Tests prove public behavior and state invariants. Every bug fix receives a focused regression test when a stable reproduction is possible.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Test category</w:t>
            </w:r>
          </w:p>
        </w:tc>
        <w:tc>
          <w:tcPr>
            <w:tcW w:type="dxa" w:w="3331"/>
            <w:shd w:fill="17324D"/>
            <w:tcMar>
              <w:top w:w="115" w:type="dxa"/>
              <w:start w:w="120" w:type="dxa"/>
              <w:bottom w:w="115" w:type="dxa"/>
              <w:end w:w="120" w:type="dxa"/>
            </w:tcMar>
            <w:vAlign w:val="center"/>
          </w:tcPr>
          <w:p>
            <w:r>
              <w:rPr>
                <w:b/>
                <w:color w:val="FFFFFF"/>
                <w:sz w:val="18"/>
              </w:rPr>
              <w:t>Location</w:t>
            </w:r>
          </w:p>
        </w:tc>
        <w:tc>
          <w:tcPr>
            <w:tcW w:type="dxa" w:w="3331"/>
            <w:shd w:fill="17324D"/>
            <w:tcMar>
              <w:top w:w="115" w:type="dxa"/>
              <w:start w:w="120" w:type="dxa"/>
              <w:bottom w:w="115" w:type="dxa"/>
              <w:end w:w="120" w:type="dxa"/>
            </w:tcMar>
            <w:vAlign w:val="center"/>
          </w:tcPr>
          <w:p>
            <w:r>
              <w:rPr>
                <w:b/>
                <w:color w:val="FFFFFF"/>
                <w:sz w:val="18"/>
              </w:rPr>
              <w:t>Expectations</w:t>
            </w:r>
          </w:p>
        </w:tc>
      </w:tr>
      <w:tr>
        <w:tc>
          <w:tcPr>
            <w:tcW w:type="dxa" w:w="3331"/>
            <w:tcMar>
              <w:top w:w="100" w:type="dxa"/>
              <w:start w:w="120" w:type="dxa"/>
              <w:bottom w:w="100" w:type="dxa"/>
              <w:end w:w="120" w:type="dxa"/>
            </w:tcMar>
            <w:vAlign w:val="center"/>
          </w:tcPr>
          <w:p>
            <w:pPr>
              <w:spacing w:after="0" w:line="240" w:lineRule="auto"/>
            </w:pPr>
            <w:r>
              <w:rPr>
                <w:sz w:val="17"/>
              </w:rPr>
              <w:t>Unit</w:t>
            </w:r>
          </w:p>
        </w:tc>
        <w:tc>
          <w:tcPr>
            <w:tcW w:type="dxa" w:w="3331"/>
            <w:tcMar>
              <w:top w:w="100" w:type="dxa"/>
              <w:start w:w="120" w:type="dxa"/>
              <w:bottom w:w="100" w:type="dxa"/>
              <w:end w:w="120" w:type="dxa"/>
            </w:tcMar>
            <w:vAlign w:val="center"/>
          </w:tcPr>
          <w:p>
            <w:pPr>
              <w:spacing w:after="0" w:line="240" w:lineRule="auto"/>
            </w:pPr>
            <w:r>
              <w:rPr>
                <w:sz w:val="17"/>
              </w:rPr>
              <w:t>`tests/unit`</w:t>
            </w:r>
          </w:p>
        </w:tc>
        <w:tc>
          <w:tcPr>
            <w:tcW w:type="dxa" w:w="3331"/>
            <w:tcMar>
              <w:top w:w="100" w:type="dxa"/>
              <w:start w:w="120" w:type="dxa"/>
              <w:bottom w:w="100" w:type="dxa"/>
              <w:end w:w="120" w:type="dxa"/>
            </w:tcMar>
            <w:vAlign w:val="center"/>
          </w:tcPr>
          <w:p>
            <w:pPr>
              <w:spacing w:after="0" w:line="240" w:lineRule="auto"/>
            </w:pPr>
            <w:r>
              <w:rPr>
                <w:sz w:val="17"/>
              </w:rPr>
              <w:t>No network, real clock, or filesystem outside temp paths</w:t>
            </w:r>
          </w:p>
        </w:tc>
      </w:tr>
      <w:tr>
        <w:tc>
          <w:tcPr>
            <w:tcW w:type="dxa" w:w="3331"/>
            <w:tcMar>
              <w:top w:w="100" w:type="dxa"/>
              <w:start w:w="120" w:type="dxa"/>
              <w:bottom w:w="100" w:type="dxa"/>
              <w:end w:w="120" w:type="dxa"/>
            </w:tcMar>
            <w:vAlign w:val="center"/>
            <w:shd w:fill="F5F7F8"/>
          </w:tcPr>
          <w:p>
            <w:pPr>
              <w:spacing w:after="0" w:line="240" w:lineRule="auto"/>
            </w:pPr>
            <w:r>
              <w:rPr>
                <w:sz w:val="17"/>
              </w:rPr>
              <w:t>Contract</w:t>
            </w:r>
          </w:p>
        </w:tc>
        <w:tc>
          <w:tcPr>
            <w:tcW w:type="dxa" w:w="3331"/>
            <w:tcMar>
              <w:top w:w="100" w:type="dxa"/>
              <w:start w:w="120" w:type="dxa"/>
              <w:bottom w:w="100" w:type="dxa"/>
              <w:end w:w="120" w:type="dxa"/>
            </w:tcMar>
            <w:vAlign w:val="center"/>
            <w:shd w:fill="F5F7F8"/>
          </w:tcPr>
          <w:p>
            <w:pPr>
              <w:spacing w:after="0" w:line="240" w:lineRule="auto"/>
            </w:pPr>
            <w:r>
              <w:rPr>
                <w:sz w:val="17"/>
              </w:rPr>
              <w:t>`tests/contract`</w:t>
            </w:r>
          </w:p>
        </w:tc>
        <w:tc>
          <w:tcPr>
            <w:tcW w:type="dxa" w:w="3331"/>
            <w:tcMar>
              <w:top w:w="100" w:type="dxa"/>
              <w:start w:w="120" w:type="dxa"/>
              <w:bottom w:w="100" w:type="dxa"/>
              <w:end w:w="120" w:type="dxa"/>
            </w:tcMar>
            <w:vAlign w:val="center"/>
            <w:shd w:fill="F5F7F8"/>
          </w:tcPr>
          <w:p>
            <w:pPr>
              <w:spacing w:after="0" w:line="240" w:lineRule="auto"/>
            </w:pPr>
            <w:r>
              <w:rPr>
                <w:sz w:val="17"/>
              </w:rPr>
              <w:t>Reusable suites for adapters, evaluators, strategies, and stores</w:t>
            </w:r>
          </w:p>
        </w:tc>
      </w:tr>
      <w:tr>
        <w:tc>
          <w:tcPr>
            <w:tcW w:type="dxa" w:w="3331"/>
            <w:tcMar>
              <w:top w:w="100" w:type="dxa"/>
              <w:start w:w="120" w:type="dxa"/>
              <w:bottom w:w="100" w:type="dxa"/>
              <w:end w:w="120" w:type="dxa"/>
            </w:tcMar>
            <w:vAlign w:val="center"/>
          </w:tcPr>
          <w:p>
            <w:pPr>
              <w:spacing w:after="0" w:line="240" w:lineRule="auto"/>
            </w:pPr>
            <w:r>
              <w:rPr>
                <w:sz w:val="17"/>
              </w:rPr>
              <w:t>Integration</w:t>
            </w:r>
          </w:p>
        </w:tc>
        <w:tc>
          <w:tcPr>
            <w:tcW w:type="dxa" w:w="3331"/>
            <w:tcMar>
              <w:top w:w="100" w:type="dxa"/>
              <w:start w:w="120" w:type="dxa"/>
              <w:bottom w:w="100" w:type="dxa"/>
              <w:end w:w="120" w:type="dxa"/>
            </w:tcMar>
            <w:vAlign w:val="center"/>
          </w:tcPr>
          <w:p>
            <w:pPr>
              <w:spacing w:after="0" w:line="240" w:lineRule="auto"/>
            </w:pPr>
            <w:r>
              <w:rPr>
                <w:sz w:val="17"/>
              </w:rPr>
              <w:t>`tests/integration`</w:t>
            </w:r>
          </w:p>
        </w:tc>
        <w:tc>
          <w:tcPr>
            <w:tcW w:type="dxa" w:w="3331"/>
            <w:tcMar>
              <w:top w:w="100" w:type="dxa"/>
              <w:start w:w="120" w:type="dxa"/>
              <w:bottom w:w="100" w:type="dxa"/>
              <w:end w:w="120" w:type="dxa"/>
            </w:tcMar>
            <w:vAlign w:val="center"/>
          </w:tcPr>
          <w:p>
            <w:pPr>
              <w:spacing w:after="0" w:line="240" w:lineRule="auto"/>
            </w:pPr>
            <w:r>
              <w:rPr>
                <w:sz w:val="17"/>
              </w:rPr>
              <w:t>SQLite and optional dependencies with markers</w:t>
            </w:r>
          </w:p>
        </w:tc>
      </w:tr>
      <w:tr>
        <w:tc>
          <w:tcPr>
            <w:tcW w:type="dxa" w:w="3331"/>
            <w:tcMar>
              <w:top w:w="100" w:type="dxa"/>
              <w:start w:w="120" w:type="dxa"/>
              <w:bottom w:w="100" w:type="dxa"/>
              <w:end w:w="120" w:type="dxa"/>
            </w:tcMar>
            <w:vAlign w:val="center"/>
            <w:shd w:fill="F5F7F8"/>
          </w:tcPr>
          <w:p>
            <w:pPr>
              <w:spacing w:after="0" w:line="240" w:lineRule="auto"/>
            </w:pPr>
            <w:r>
              <w:rPr>
                <w:sz w:val="17"/>
              </w:rPr>
              <w:t>End to end</w:t>
            </w:r>
          </w:p>
        </w:tc>
        <w:tc>
          <w:tcPr>
            <w:tcW w:type="dxa" w:w="3331"/>
            <w:tcMar>
              <w:top w:w="100" w:type="dxa"/>
              <w:start w:w="120" w:type="dxa"/>
              <w:bottom w:w="100" w:type="dxa"/>
              <w:end w:w="120" w:type="dxa"/>
            </w:tcMar>
            <w:vAlign w:val="center"/>
            <w:shd w:fill="F5F7F8"/>
          </w:tcPr>
          <w:p>
            <w:pPr>
              <w:spacing w:after="0" w:line="240" w:lineRule="auto"/>
            </w:pPr>
            <w:r>
              <w:rPr>
                <w:sz w:val="17"/>
              </w:rPr>
              <w:t>`tests/e2e`</w:t>
            </w:r>
          </w:p>
        </w:tc>
        <w:tc>
          <w:tcPr>
            <w:tcW w:type="dxa" w:w="3331"/>
            <w:tcMar>
              <w:top w:w="100" w:type="dxa"/>
              <w:start w:w="120" w:type="dxa"/>
              <w:bottom w:w="100" w:type="dxa"/>
              <w:end w:w="120" w:type="dxa"/>
            </w:tcMar>
            <w:vAlign w:val="center"/>
            <w:shd w:fill="F5F7F8"/>
          </w:tcPr>
          <w:p>
            <w:pPr>
              <w:spacing w:after="0" w:line="240" w:lineRule="auto"/>
            </w:pPr>
            <w:r>
              <w:rPr>
                <w:sz w:val="17"/>
              </w:rPr>
              <w:t>Small deterministic optimization through public API</w:t>
            </w:r>
          </w:p>
        </w:tc>
      </w:tr>
      <w:tr>
        <w:tc>
          <w:tcPr>
            <w:tcW w:type="dxa" w:w="3331"/>
            <w:tcMar>
              <w:top w:w="100" w:type="dxa"/>
              <w:start w:w="120" w:type="dxa"/>
              <w:bottom w:w="100" w:type="dxa"/>
              <w:end w:w="120" w:type="dxa"/>
            </w:tcMar>
            <w:vAlign w:val="center"/>
          </w:tcPr>
          <w:p>
            <w:pPr>
              <w:spacing w:after="0" w:line="240" w:lineRule="auto"/>
            </w:pPr>
            <w:r>
              <w:rPr>
                <w:sz w:val="17"/>
              </w:rPr>
              <w:t>Migration</w:t>
            </w:r>
          </w:p>
        </w:tc>
        <w:tc>
          <w:tcPr>
            <w:tcW w:type="dxa" w:w="3331"/>
            <w:tcMar>
              <w:top w:w="100" w:type="dxa"/>
              <w:start w:w="120" w:type="dxa"/>
              <w:bottom w:w="100" w:type="dxa"/>
              <w:end w:w="120" w:type="dxa"/>
            </w:tcMar>
            <w:vAlign w:val="center"/>
          </w:tcPr>
          <w:p>
            <w:pPr>
              <w:spacing w:after="0" w:line="240" w:lineRule="auto"/>
            </w:pPr>
            <w:r>
              <w:rPr>
                <w:sz w:val="17"/>
              </w:rPr>
              <w:t>`tests/migrations`</w:t>
            </w:r>
          </w:p>
        </w:tc>
        <w:tc>
          <w:tcPr>
            <w:tcW w:type="dxa" w:w="3331"/>
            <w:tcMar>
              <w:top w:w="100" w:type="dxa"/>
              <w:start w:w="120" w:type="dxa"/>
              <w:bottom w:w="100" w:type="dxa"/>
              <w:end w:w="120" w:type="dxa"/>
            </w:tcMar>
            <w:vAlign w:val="center"/>
          </w:tcPr>
          <w:p>
            <w:pPr>
              <w:spacing w:after="0" w:line="240" w:lineRule="auto"/>
            </w:pPr>
            <w:r>
              <w:rPr>
                <w:sz w:val="17"/>
              </w:rPr>
              <w:t>Upgrade fixtures from each supported schema version</w:t>
            </w:r>
          </w:p>
        </w:tc>
      </w:tr>
    </w:tbl>
    <w:p>
      <w:pPr>
        <w:spacing w:after="20"/>
      </w:pPr>
    </w:p>
    <w:p>
      <w:pPr>
        <w:pStyle w:val="ListBullet"/>
      </w:pPr>
      <w:r>
        <w:t>Seed all pseudo-random behavior and assert outcomes, not implementation call order, unless order is the contract.</w:t>
      </w:r>
    </w:p>
    <w:p>
      <w:pPr>
        <w:pStyle w:val="ListBullet"/>
      </w:pPr>
      <w:r>
        <w:t>Use fake adapters and evaluators rather than mocking deep internals.</w:t>
      </w:r>
    </w:p>
    <w:p>
      <w:pPr>
        <w:pStyle w:val="ListBullet"/>
      </w:pPr>
      <w:r>
        <w:t>Use monotonic fake clocks for timeout and backoff tests.</w:t>
      </w:r>
    </w:p>
    <w:p>
      <w:pPr>
        <w:pStyle w:val="ListBullet"/>
      </w:pPr>
      <w:r>
        <w:t>Verify cancellation, duplicate suggestions, partial evaluator failure, cache hits, lock retries, and resume after process interruption.</w:t>
      </w:r>
    </w:p>
    <w:p>
      <w:pPr>
        <w:pStyle w:val="ListBullet"/>
      </w:pPr>
      <w:r>
        <w:t>Mark network tests and exclude them from the default suite. Recorded provider fixtures must be sanitized and license-compatible.</w:t>
      </w:r>
    </w:p>
    <w:p>
      <w:pPr>
        <w:pStyle w:val="ListBullet"/>
      </w:pPr>
      <w:r>
        <w:t>Aim for complete branch coverage in state machines and migration code; global percentage alone is not an adequate quality signal.</w:t>
      </w:r>
    </w:p>
    <w:p>
      <w:pPr>
        <w:pStyle w:val="Heading1"/>
      </w:pPr>
      <w:r>
        <w:t>Database and transaction conventions</w:t>
      </w:r>
    </w:p>
    <w:p>
      <w:r>
        <w:t>Store methods define transaction scope explicitly. A transaction must not cross a provider call, evaluator call, callback, sleep, or arbitrary user code. SQLite connections enable foreign keys and a configured busy timeout. Writes that claim a trial or commit a terminal state are atomic and idempotent.</w:t>
      </w:r>
    </w:p>
    <w:p>
      <w:r>
        <w:t>Migration files are immutable after release. Each migration has an upgrade, schema assertion, and fixture test. Destructive changes use create-copy-verify-swap, never ad hoc column reinterpretation.</w:t>
      </w:r>
    </w:p>
    <w:p>
      <w:pPr>
        <w:pStyle w:val="Heading1"/>
      </w:pPr>
      <w:r>
        <w:t>Security and privacy</w:t>
      </w:r>
    </w:p>
    <w:p>
      <w:pPr>
        <w:pStyle w:val="ListBullet"/>
      </w:pPr>
      <w:r>
        <w:t>Accept secrets through runtime settings or injected clients, never model fields persisted with experiments.</w:t>
      </w:r>
    </w:p>
    <w:p>
      <w:pPr>
        <w:pStyle w:val="ListBullet"/>
      </w:pPr>
      <w:r>
        <w:t>Redact known credential patterns and authorization headers in logs and errors.</w:t>
      </w:r>
    </w:p>
    <w:p>
      <w:pPr>
        <w:pStyle w:val="ListBullet"/>
      </w:pPr>
      <w:r>
        <w:t>Treat datasets, prompts, contexts, answers, and evaluator rationales as potentially sensitive.</w:t>
      </w:r>
    </w:p>
    <w:p>
      <w:pPr>
        <w:pStyle w:val="ListBullet"/>
      </w:pPr>
      <w:r>
        <w:t>Default event payloads contain identifiers and aggregates; full content requires an explicit policy.</w:t>
      </w:r>
    </w:p>
    <w:p>
      <w:pPr>
        <w:pStyle w:val="ListBullet"/>
      </w:pPr>
      <w:r>
        <w:t>Canonical hashes may include sensitive content but stored keys must use one-way digests with domain separation.</w:t>
      </w:r>
    </w:p>
    <w:p>
      <w:pPr>
        <w:pStyle w:val="ListBullet"/>
      </w:pPr>
      <w:r>
        <w:t>Do not deserialize executable objects from the database or cache.</w:t>
      </w:r>
    </w:p>
    <w:p>
      <w:pPr>
        <w:pStyle w:val="Heading1"/>
      </w:pPr>
      <w:r>
        <w:t>Pull request checklist</w:t>
      </w:r>
    </w:p>
    <w:p>
      <w:pPr>
        <w:spacing w:after="50" w:line="269" w:lineRule="auto"/>
        <w:ind w:left="115"/>
      </w:pPr>
      <w:r>
        <w:t xml:space="preserve">1. </w:t>
      </w:r>
      <w:r>
        <w:t>Public behavior and compatibility impact are described.</w:t>
      </w:r>
      <w:r>
        <w:br/>
      </w:r>
      <w:r>
        <w:t xml:space="preserve">2. </w:t>
      </w:r>
      <w:r>
        <w:t>Types, docstrings, changelog fragments, and examples match the implementation.</w:t>
      </w:r>
      <w:r>
        <w:br/>
      </w:r>
      <w:r>
        <w:t xml:space="preserve">3. </w:t>
      </w:r>
      <w:r>
        <w:t>Async code contains no hidden blocking operation or unbounded gather.</w:t>
      </w:r>
      <w:r>
        <w:br/>
      </w:r>
      <w:r>
        <w:t xml:space="preserve">4. </w:t>
      </w:r>
      <w:r>
        <w:t>Failure, cancellation, retry, and resume paths are tested.</w:t>
      </w:r>
      <w:r>
        <w:br/>
      </w:r>
      <w:r>
        <w:t xml:space="preserve">5. </w:t>
      </w:r>
      <w:r>
        <w:t>Optional integrations remain import-safe without their extras.</w:t>
      </w:r>
      <w:r>
        <w:br/>
      </w:r>
      <w:r>
        <w:t xml:space="preserve">6. </w:t>
      </w:r>
      <w:r>
        <w:t>Logs, errors, events, and persisted metadata contain no secrets.</w:t>
      </w:r>
      <w:r>
        <w:br/>
      </w:r>
      <w:r>
        <w:t xml:space="preserve">7. </w:t>
      </w:r>
      <w:r>
        <w:t>SQLite migrations and indexes are verified when storage changes.</w:t>
      </w:r>
      <w:r>
        <w:br/>
      </w:r>
      <w:r>
        <w:t xml:space="preserve">8. </w:t>
      </w:r>
      <w:r>
        <w:t>The focused test suite, formatter, linter, and type checker pass.</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Coding Conventions</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