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Component Map</w:t>
      </w:r>
    </w:p>
    <w:p>
      <w:pPr>
        <w:pStyle w:val="Subtitle"/>
      </w:pPr>
      <w:r>
        <w:rPr>
          <w:rFonts w:ascii="Aptos" w:hAnsi="Aptos"/>
          <w:color w:val="4D4D4D"/>
          <w:sz w:val="30"/>
        </w:rPr>
        <w:t>autorag-tuner Python package</w:t>
      </w:r>
    </w:p>
    <w:p>
      <w:r>
        <w:t>A navigable map of package components, responsibilities, dependencies, and runtime collaboration.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Developers orienting themselves in the codebase and reviewers evaluating boundaries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autorag-tuner is organized around a small orchestration core and replaceable ports. The optimizer owns lifecycle and policy. User RAG code, search strategies, evaluators, objectives, stores, caches, and callbacks interact through typed contracts. Optional integrations remain at the edge so a base installation can run with user-defined components and SQLite only.</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System Architecture Document for flows and deployment views</w:t>
      </w:r>
    </w:p>
    <w:p>
      <w:pPr>
        <w:pStyle w:val="ListBullet"/>
      </w:pPr>
      <w:r>
        <w:t>File Folder Structure for physical locations</w:t>
      </w:r>
    </w:p>
    <w:p>
      <w:pPr>
        <w:pStyle w:val="ListBullet"/>
      </w:pPr>
      <w:r>
        <w:t>Technical Design Document for implementation mechanics</w:t>
      </w:r>
    </w:p>
    <w:p>
      <w:pPr>
        <w:pStyle w:val="ListBullet"/>
      </w:pPr>
      <w:r>
        <w:t>API Specification for public signatures</w:t>
      </w:r>
    </w:p>
    <w:p>
      <w:pPr>
        <w:pStyle w:val="Heading1"/>
      </w:pPr>
      <w:r>
        <w:t>Logical component view</w:t>
      </w:r>
    </w:p>
    <w:p>
      <w:pPr>
        <w:spacing w:before="80" w:after="140" w:line="240" w:lineRule="auto"/>
        <w:ind w:left="360" w:right="216"/>
      </w:pPr>
      <w:r>
        <w:rPr>
          <w:rFonts w:ascii="Cascadia Mono" w:hAnsi="Cascadia Mono"/>
          <w:sz w:val="17"/>
        </w:rPr>
        <w:t>User application or CLI</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 xml:space="preserve">      Optimizer facade</w:t>
        <w:br/>
      </w:r>
      <w:r>
        <w:rPr>
          <w:rFonts w:ascii="Cascadia Mono" w:hAnsi="Cascadia Mono"/>
          <w:sz w:val="17"/>
        </w:rPr>
        <w:t xml:space="preserve">          |</w:t>
        <w:br/>
      </w:r>
      <w:r>
        <w:rPr>
          <w:rFonts w:ascii="Cascadia Mono" w:hAnsi="Cascadia Mono"/>
          <w:sz w:val="17"/>
        </w:rPr>
        <w:t xml:space="preserve">  +-------+--------+----------------+----------------+</w:t>
        <w:br/>
      </w:r>
      <w:r>
        <w:rPr>
          <w:rFonts w:ascii="Cascadia Mono" w:hAnsi="Cascadia Mono"/>
          <w:sz w:val="17"/>
        </w:rPr>
        <w:t xml:space="preserve">  |                |                |                |</w:t>
        <w:br/>
      </w:r>
      <w:r>
        <w:rPr>
          <w:rFonts w:ascii="Cascadia Mono" w:hAnsi="Cascadia Mono"/>
          <w:sz w:val="17"/>
        </w:rPr>
        <w:t>Scheduler     SearchStrategy    Evaluation       Stop policy</w:t>
        <w:br/>
      </w:r>
      <w:r>
        <w:rPr>
          <w:rFonts w:ascii="Cascadia Mono" w:hAnsi="Cascadia Mono"/>
          <w:sz w:val="17"/>
        </w:rPr>
        <w:t xml:space="preserve">  |                |             pipeline             |</w:t>
        <w:br/>
      </w:r>
      <w:r>
        <w:rPr>
          <w:rFonts w:ascii="Cascadia Mono" w:hAnsi="Cascadia Mono"/>
          <w:sz w:val="17"/>
        </w:rPr>
        <w:t xml:space="preserve">  v                v                v                v</w:t>
        <w:br/>
      </w:r>
      <w:r>
        <w:rPr>
          <w:rFonts w:ascii="Cascadia Mono" w:hAnsi="Cascadia Mono"/>
          <w:sz w:val="17"/>
        </w:rPr>
        <w:t>TrialRunner --&gt; RAGAdapter --&gt; Evaluators --&gt; Objective</w:t>
        <w:br/>
      </w:r>
      <w:r>
        <w:rPr>
          <w:rFonts w:ascii="Cascadia Mono" w:hAnsi="Cascadia Mono"/>
          <w:sz w:val="17"/>
        </w:rPr>
        <w:t xml:space="preserve">  |                |                |                |</w:t>
        <w:br/>
      </w:r>
      <w:r>
        <w:rPr>
          <w:rFonts w:ascii="Cascadia Mono" w:hAnsi="Cascadia Mono"/>
          <w:sz w:val="17"/>
        </w:rPr>
        <w:t xml:space="preserve">  +----------------+----------------+----------------+</w:t>
        <w:br/>
      </w:r>
      <w:r>
        <w:rPr>
          <w:rFonts w:ascii="Cascadia Mono" w:hAnsi="Cascadia Mono"/>
          <w:sz w:val="17"/>
        </w:rPr>
        <w:t xml:space="preserve">                           |</w:t>
        <w:br/>
      </w:r>
      <w:r>
        <w:rPr>
          <w:rFonts w:ascii="Cascadia Mono" w:hAnsi="Cascadia Mono"/>
          <w:sz w:val="17"/>
        </w:rPr>
        <w:t xml:space="preserve">                 ExperimentStore and Cache</w:t>
        <w:br/>
      </w:r>
      <w:r>
        <w:rPr>
          <w:rFonts w:ascii="Cascadia Mono" w:hAnsi="Cascadia Mono"/>
          <w:sz w:val="17"/>
        </w:rPr>
        <w:t xml:space="preserve">                           |</w:t>
        <w:br/>
      </w:r>
      <w:r>
        <w:rPr>
          <w:rFonts w:ascii="Cascadia Mono" w:hAnsi="Cascadia Mono"/>
          <w:sz w:val="17"/>
        </w:rPr>
        <w:t xml:space="preserve">                 Events and callbacks</w:t>
      </w:r>
    </w:p>
    <w:p>
      <w:r>
        <w:t>The arrows show control or data use, not inheritance. The optimizer and runner depend on protocols. Implementations are selected during construction.</w:t>
      </w:r>
    </w:p>
    <w:p>
      <w:pPr>
        <w:pStyle w:val="Heading1"/>
      </w:pPr>
      <w:r>
        <w:t>Component catalog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1999"/>
            <w:shd w:fill="17324D"/>
            <w:tcMar>
              <w:top w:w="115" w:type="dxa"/>
              <w:start w:w="120" w:type="dxa"/>
              <w:bottom w:w="115" w:type="dxa"/>
              <w:end w:w="120" w:type="dxa"/>
            </w:tcMar>
            <w:vAlign w:val="center"/>
          </w:tcPr>
          <w:p>
            <w:r>
              <w:rPr>
                <w:b/>
                <w:color w:val="FFFFFF"/>
                <w:sz w:val="18"/>
              </w:rPr>
              <w:t>Component</w:t>
            </w:r>
          </w:p>
        </w:tc>
        <w:tc>
          <w:tcPr>
            <w:tcW w:type="dxa" w:w="1999"/>
            <w:shd w:fill="17324D"/>
            <w:tcMar>
              <w:top w:w="115" w:type="dxa"/>
              <w:start w:w="120" w:type="dxa"/>
              <w:bottom w:w="115" w:type="dxa"/>
              <w:end w:w="120" w:type="dxa"/>
            </w:tcMar>
            <w:vAlign w:val="center"/>
          </w:tcPr>
          <w:p>
            <w:r>
              <w:rPr>
                <w:b/>
                <w:color w:val="FFFFFF"/>
                <w:sz w:val="18"/>
              </w:rPr>
              <w:t>Responsibility</w:t>
            </w:r>
          </w:p>
        </w:tc>
        <w:tc>
          <w:tcPr>
            <w:tcW w:type="dxa" w:w="1999"/>
            <w:shd w:fill="17324D"/>
            <w:tcMar>
              <w:top w:w="115" w:type="dxa"/>
              <w:start w:w="120" w:type="dxa"/>
              <w:bottom w:w="115" w:type="dxa"/>
              <w:end w:w="120" w:type="dxa"/>
            </w:tcMar>
            <w:vAlign w:val="center"/>
          </w:tcPr>
          <w:p>
            <w:r>
              <w:rPr>
                <w:b/>
                <w:color w:val="FFFFFF"/>
                <w:sz w:val="18"/>
              </w:rPr>
              <w:t>Inputs</w:t>
            </w:r>
          </w:p>
        </w:tc>
        <w:tc>
          <w:tcPr>
            <w:tcW w:type="dxa" w:w="1999"/>
            <w:shd w:fill="17324D"/>
            <w:tcMar>
              <w:top w:w="115" w:type="dxa"/>
              <w:start w:w="120" w:type="dxa"/>
              <w:bottom w:w="115" w:type="dxa"/>
              <w:end w:w="120" w:type="dxa"/>
            </w:tcMar>
            <w:vAlign w:val="center"/>
          </w:tcPr>
          <w:p>
            <w:r>
              <w:rPr>
                <w:b/>
                <w:color w:val="FFFFFF"/>
                <w:sz w:val="18"/>
              </w:rPr>
              <w:t>Outputs</w:t>
            </w:r>
          </w:p>
        </w:tc>
        <w:tc>
          <w:tcPr>
            <w:tcW w:type="dxa" w:w="1999"/>
            <w:shd w:fill="17324D"/>
            <w:tcMar>
              <w:top w:w="115" w:type="dxa"/>
              <w:start w:w="120" w:type="dxa"/>
              <w:bottom w:w="115" w:type="dxa"/>
              <w:end w:w="120" w:type="dxa"/>
            </w:tcMar>
            <w:vAlign w:val="center"/>
          </w:tcPr>
          <w:p>
            <w:r>
              <w:rPr>
                <w:b/>
                <w:color w:val="FFFFFF"/>
                <w:sz w:val="18"/>
              </w:rPr>
              <w:t>V0.1 implementation</w:t>
            </w:r>
          </w:p>
        </w:tc>
      </w:tr>
      <w:tr>
        <w:tc>
          <w:tcPr>
            <w:tcW w:type="dxa" w:w="1999"/>
            <w:tcMar>
              <w:top w:w="100" w:type="dxa"/>
              <w:start w:w="120" w:type="dxa"/>
              <w:bottom w:w="100" w:type="dxa"/>
              <w:end w:w="120" w:type="dxa"/>
            </w:tcMar>
            <w:vAlign w:val="center"/>
          </w:tcPr>
          <w:p>
            <w:pPr>
              <w:spacing w:after="0" w:line="240" w:lineRule="auto"/>
            </w:pPr>
            <w:r>
              <w:rPr>
                <w:sz w:val="17"/>
              </w:rPr>
              <w:t>Optimizer facade</w:t>
            </w:r>
          </w:p>
        </w:tc>
        <w:tc>
          <w:tcPr>
            <w:tcW w:type="dxa" w:w="1999"/>
            <w:tcMar>
              <w:top w:w="100" w:type="dxa"/>
              <w:start w:w="120" w:type="dxa"/>
              <w:bottom w:w="100" w:type="dxa"/>
              <w:end w:w="120" w:type="dxa"/>
            </w:tcMar>
            <w:vAlign w:val="center"/>
          </w:tcPr>
          <w:p>
            <w:pPr>
              <w:spacing w:after="0" w:line="240" w:lineRule="auto"/>
            </w:pPr>
            <w:r>
              <w:rPr>
                <w:sz w:val="17"/>
              </w:rPr>
              <w:t>Validate inputs, create or resume study, coordinate lifecycle</w:t>
            </w:r>
          </w:p>
        </w:tc>
        <w:tc>
          <w:tcPr>
            <w:tcW w:type="dxa" w:w="1999"/>
            <w:tcMar>
              <w:top w:w="100" w:type="dxa"/>
              <w:start w:w="120" w:type="dxa"/>
              <w:bottom w:w="100" w:type="dxa"/>
              <w:end w:w="120" w:type="dxa"/>
            </w:tcMar>
            <w:vAlign w:val="center"/>
          </w:tcPr>
          <w:p>
            <w:pPr>
              <w:spacing w:after="0" w:line="240" w:lineRule="auto"/>
            </w:pPr>
            <w:r>
              <w:rPr>
                <w:sz w:val="17"/>
              </w:rPr>
              <w:t>Adapter, dataset, space, strategy, evaluators, objective</w:t>
            </w:r>
          </w:p>
        </w:tc>
        <w:tc>
          <w:tcPr>
            <w:tcW w:type="dxa" w:w="1999"/>
            <w:tcMar>
              <w:top w:w="100" w:type="dxa"/>
              <w:start w:w="120" w:type="dxa"/>
              <w:bottom w:w="100" w:type="dxa"/>
              <w:end w:w="120" w:type="dxa"/>
            </w:tcMar>
            <w:vAlign w:val="center"/>
          </w:tcPr>
          <w:p>
            <w:pPr>
              <w:spacing w:after="0" w:line="240" w:lineRule="auto"/>
            </w:pPr>
            <w:r>
              <w:rPr>
                <w:sz w:val="17"/>
              </w:rPr>
              <w:t>OptimizationResult</w:t>
            </w:r>
          </w:p>
        </w:tc>
        <w:tc>
          <w:tcPr>
            <w:tcW w:type="dxa" w:w="1999"/>
            <w:tcMar>
              <w:top w:w="100" w:type="dxa"/>
              <w:start w:w="120" w:type="dxa"/>
              <w:bottom w:w="100" w:type="dxa"/>
              <w:end w:w="120" w:type="dxa"/>
            </w:tcMar>
            <w:vAlign w:val="center"/>
          </w:tcPr>
          <w:p>
            <w:pPr>
              <w:spacing w:after="0" w:line="240" w:lineRule="auto"/>
            </w:pPr>
            <w:r>
              <w:rPr>
                <w:sz w:val="17"/>
              </w:rPr>
              <w:t>Core</w:t>
            </w:r>
          </w:p>
        </w:tc>
      </w:tr>
      <w:tr>
        <w:tc>
          <w:tcPr>
            <w:tcW w:type="dxa" w:w="1999"/>
            <w:tcMar>
              <w:top w:w="100" w:type="dxa"/>
              <w:start w:w="120" w:type="dxa"/>
              <w:bottom w:w="100" w:type="dxa"/>
              <w:end w:w="120" w:type="dxa"/>
            </w:tcMar>
            <w:vAlign w:val="center"/>
            <w:shd w:fill="F5F7F8"/>
          </w:tcPr>
          <w:p>
            <w:pPr>
              <w:spacing w:after="0" w:line="240" w:lineRule="auto"/>
            </w:pPr>
            <w:r>
              <w:rPr>
                <w:sz w:val="17"/>
              </w:rPr>
              <w:t>Study controller</w:t>
            </w:r>
          </w:p>
        </w:tc>
        <w:tc>
          <w:tcPr>
            <w:tcW w:type="dxa" w:w="1999"/>
            <w:tcMar>
              <w:top w:w="100" w:type="dxa"/>
              <w:start w:w="120" w:type="dxa"/>
              <w:bottom w:w="100" w:type="dxa"/>
              <w:end w:w="120" w:type="dxa"/>
            </w:tcMar>
            <w:vAlign w:val="center"/>
            <w:shd w:fill="F5F7F8"/>
          </w:tcPr>
          <w:p>
            <w:pPr>
              <w:spacing w:after="0" w:line="240" w:lineRule="auto"/>
            </w:pPr>
            <w:r>
              <w:rPr>
                <w:sz w:val="17"/>
              </w:rPr>
              <w:t>Own study state machine and stop decisions</w:t>
            </w:r>
          </w:p>
        </w:tc>
        <w:tc>
          <w:tcPr>
            <w:tcW w:type="dxa" w:w="1999"/>
            <w:tcMar>
              <w:top w:w="100" w:type="dxa"/>
              <w:start w:w="120" w:type="dxa"/>
              <w:bottom w:w="100" w:type="dxa"/>
              <w:end w:w="120" w:type="dxa"/>
            </w:tcMar>
            <w:vAlign w:val="center"/>
            <w:shd w:fill="F5F7F8"/>
          </w:tcPr>
          <w:p>
            <w:pPr>
              <w:spacing w:after="0" w:line="240" w:lineRule="auto"/>
            </w:pPr>
            <w:r>
              <w:rPr>
                <w:sz w:val="17"/>
              </w:rPr>
              <w:t>Durable history and policies</w:t>
            </w:r>
          </w:p>
        </w:tc>
        <w:tc>
          <w:tcPr>
            <w:tcW w:type="dxa" w:w="1999"/>
            <w:tcMar>
              <w:top w:w="100" w:type="dxa"/>
              <w:start w:w="120" w:type="dxa"/>
              <w:bottom w:w="100" w:type="dxa"/>
              <w:end w:w="120" w:type="dxa"/>
            </w:tcMar>
            <w:vAlign w:val="center"/>
            <w:shd w:fill="F5F7F8"/>
          </w:tcPr>
          <w:p>
            <w:pPr>
              <w:spacing w:after="0" w:line="240" w:lineRule="auto"/>
            </w:pPr>
            <w:r>
              <w:rPr>
                <w:sz w:val="17"/>
              </w:rPr>
              <w:t>Scheduling decisions and terminal state</w:t>
            </w:r>
          </w:p>
        </w:tc>
        <w:tc>
          <w:tcPr>
            <w:tcW w:type="dxa" w:w="1999"/>
            <w:tcMar>
              <w:top w:w="100" w:type="dxa"/>
              <w:start w:w="120" w:type="dxa"/>
              <w:bottom w:w="100" w:type="dxa"/>
              <w:end w:w="120" w:type="dxa"/>
            </w:tcMar>
            <w:vAlign w:val="center"/>
            <w:shd w:fill="F5F7F8"/>
          </w:tcPr>
          <w:p>
            <w:pPr>
              <w:spacing w:after="0" w:line="240" w:lineRule="auto"/>
            </w:pPr>
            <w:r>
              <w:rPr>
                <w:sz w:val="17"/>
              </w:rPr>
              <w:t>Core</w:t>
            </w:r>
          </w:p>
        </w:tc>
      </w:tr>
      <w:tr>
        <w:tc>
          <w:tcPr>
            <w:tcW w:type="dxa" w:w="1999"/>
            <w:tcMar>
              <w:top w:w="100" w:type="dxa"/>
              <w:start w:w="120" w:type="dxa"/>
              <w:bottom w:w="100" w:type="dxa"/>
              <w:end w:w="120" w:type="dxa"/>
            </w:tcMar>
            <w:vAlign w:val="center"/>
          </w:tcPr>
          <w:p>
            <w:pPr>
              <w:spacing w:after="0" w:line="240" w:lineRule="auto"/>
            </w:pPr>
            <w:r>
              <w:rPr>
                <w:sz w:val="17"/>
              </w:rPr>
              <w:t>Scheduler</w:t>
            </w:r>
          </w:p>
        </w:tc>
        <w:tc>
          <w:tcPr>
            <w:tcW w:type="dxa" w:w="1999"/>
            <w:tcMar>
              <w:top w:w="100" w:type="dxa"/>
              <w:start w:w="120" w:type="dxa"/>
              <w:bottom w:w="100" w:type="dxa"/>
              <w:end w:w="120" w:type="dxa"/>
            </w:tcMar>
            <w:vAlign w:val="center"/>
          </w:tcPr>
          <w:p>
            <w:pPr>
              <w:spacing w:after="0" w:line="240" w:lineRule="auto"/>
            </w:pPr>
            <w:r>
              <w:rPr>
                <w:sz w:val="17"/>
              </w:rPr>
              <w:t>Reserve candidates and enforce concurrency</w:t>
            </w:r>
          </w:p>
        </w:tc>
        <w:tc>
          <w:tcPr>
            <w:tcW w:type="dxa" w:w="1999"/>
            <w:tcMar>
              <w:top w:w="100" w:type="dxa"/>
              <w:start w:w="120" w:type="dxa"/>
              <w:bottom w:w="100" w:type="dxa"/>
              <w:end w:w="120" w:type="dxa"/>
            </w:tcMar>
            <w:vAlign w:val="center"/>
          </w:tcPr>
          <w:p>
            <w:pPr>
              <w:spacing w:after="0" w:line="240" w:lineRule="auto"/>
            </w:pPr>
            <w:r>
              <w:rPr>
                <w:sz w:val="17"/>
              </w:rPr>
              <w:t>Suggestions and capacity</w:t>
            </w:r>
          </w:p>
        </w:tc>
        <w:tc>
          <w:tcPr>
            <w:tcW w:type="dxa" w:w="1999"/>
            <w:tcMar>
              <w:top w:w="100" w:type="dxa"/>
              <w:start w:w="120" w:type="dxa"/>
              <w:bottom w:w="100" w:type="dxa"/>
              <w:end w:w="120" w:type="dxa"/>
            </w:tcMar>
            <w:vAlign w:val="center"/>
          </w:tcPr>
          <w:p>
            <w:pPr>
              <w:spacing w:after="0" w:line="240" w:lineRule="auto"/>
            </w:pPr>
            <w:r>
              <w:rPr>
                <w:sz w:val="17"/>
              </w:rPr>
              <w:t>Claimed trial work</w:t>
            </w:r>
          </w:p>
        </w:tc>
        <w:tc>
          <w:tcPr>
            <w:tcW w:type="dxa" w:w="1999"/>
            <w:tcMar>
              <w:top w:w="100" w:type="dxa"/>
              <w:start w:w="120" w:type="dxa"/>
              <w:bottom w:w="100" w:type="dxa"/>
              <w:end w:w="120" w:type="dxa"/>
            </w:tcMar>
            <w:vAlign w:val="center"/>
          </w:tcPr>
          <w:p>
            <w:pPr>
              <w:spacing w:after="0" w:line="240" w:lineRule="auto"/>
            </w:pPr>
            <w:r>
              <w:rPr>
                <w:sz w:val="17"/>
              </w:rPr>
              <w:t>Core</w:t>
            </w:r>
          </w:p>
        </w:tc>
      </w:tr>
      <w:tr>
        <w:tc>
          <w:tcPr>
            <w:tcW w:type="dxa" w:w="1999"/>
            <w:tcMar>
              <w:top w:w="100" w:type="dxa"/>
              <w:start w:w="120" w:type="dxa"/>
              <w:bottom w:w="100" w:type="dxa"/>
              <w:end w:w="120" w:type="dxa"/>
            </w:tcMar>
            <w:vAlign w:val="center"/>
            <w:shd w:fill="F5F7F8"/>
          </w:tcPr>
          <w:p>
            <w:pPr>
              <w:spacing w:after="0" w:line="240" w:lineRule="auto"/>
            </w:pPr>
            <w:r>
              <w:rPr>
                <w:sz w:val="17"/>
              </w:rPr>
              <w:t>Trial runner</w:t>
            </w:r>
          </w:p>
        </w:tc>
        <w:tc>
          <w:tcPr>
            <w:tcW w:type="dxa" w:w="1999"/>
            <w:tcMar>
              <w:top w:w="100" w:type="dxa"/>
              <w:start w:w="120" w:type="dxa"/>
              <w:bottom w:w="100" w:type="dxa"/>
              <w:end w:w="120" w:type="dxa"/>
            </w:tcMar>
            <w:vAlign w:val="center"/>
            <w:shd w:fill="F5F7F8"/>
          </w:tcPr>
          <w:p>
            <w:pPr>
              <w:spacing w:after="0" w:line="240" w:lineRule="auto"/>
            </w:pPr>
            <w:r>
              <w:rPr>
                <w:sz w:val="17"/>
              </w:rPr>
              <w:t>Execute prepare, samples, evaluation, aggregation, cleanup</w:t>
            </w:r>
          </w:p>
        </w:tc>
        <w:tc>
          <w:tcPr>
            <w:tcW w:type="dxa" w:w="1999"/>
            <w:tcMar>
              <w:top w:w="100" w:type="dxa"/>
              <w:start w:w="120" w:type="dxa"/>
              <w:bottom w:w="100" w:type="dxa"/>
              <w:end w:w="120" w:type="dxa"/>
            </w:tcMar>
            <w:vAlign w:val="center"/>
            <w:shd w:fill="F5F7F8"/>
          </w:tcPr>
          <w:p>
            <w:pPr>
              <w:spacing w:after="0" w:line="240" w:lineRule="auto"/>
            </w:pPr>
            <w:r>
              <w:rPr>
                <w:sz w:val="17"/>
              </w:rPr>
              <w:t>Trial and dataset split</w:t>
            </w:r>
          </w:p>
        </w:tc>
        <w:tc>
          <w:tcPr>
            <w:tcW w:type="dxa" w:w="1999"/>
            <w:tcMar>
              <w:top w:w="100" w:type="dxa"/>
              <w:start w:w="120" w:type="dxa"/>
              <w:bottom w:w="100" w:type="dxa"/>
              <w:end w:w="120" w:type="dxa"/>
            </w:tcMar>
            <w:vAlign w:val="center"/>
            <w:shd w:fill="F5F7F8"/>
          </w:tcPr>
          <w:p>
            <w:pPr>
              <w:spacing w:after="0" w:line="240" w:lineRule="auto"/>
            </w:pPr>
            <w:r>
              <w:rPr>
                <w:sz w:val="17"/>
              </w:rPr>
              <w:t>Terminal trial observation</w:t>
            </w:r>
          </w:p>
        </w:tc>
        <w:tc>
          <w:tcPr>
            <w:tcW w:type="dxa" w:w="1999"/>
            <w:tcMar>
              <w:top w:w="100" w:type="dxa"/>
              <w:start w:w="120" w:type="dxa"/>
              <w:bottom w:w="100" w:type="dxa"/>
              <w:end w:w="120" w:type="dxa"/>
            </w:tcMar>
            <w:vAlign w:val="center"/>
            <w:shd w:fill="F5F7F8"/>
          </w:tcPr>
          <w:p>
            <w:pPr>
              <w:spacing w:after="0" w:line="240" w:lineRule="auto"/>
            </w:pPr>
            <w:r>
              <w:rPr>
                <w:sz w:val="17"/>
              </w:rPr>
              <w:t>Core</w:t>
            </w:r>
          </w:p>
        </w:tc>
      </w:tr>
      <w:tr>
        <w:tc>
          <w:tcPr>
            <w:tcW w:type="dxa" w:w="1999"/>
            <w:tcMar>
              <w:top w:w="100" w:type="dxa"/>
              <w:start w:w="120" w:type="dxa"/>
              <w:bottom w:w="100" w:type="dxa"/>
              <w:end w:w="120" w:type="dxa"/>
            </w:tcMar>
            <w:vAlign w:val="center"/>
          </w:tcPr>
          <w:p>
            <w:pPr>
              <w:spacing w:after="0" w:line="240" w:lineRule="auto"/>
            </w:pPr>
            <w:r>
              <w:rPr>
                <w:sz w:val="17"/>
              </w:rPr>
              <w:t>RAGAdapter</w:t>
            </w:r>
          </w:p>
        </w:tc>
        <w:tc>
          <w:tcPr>
            <w:tcW w:type="dxa" w:w="1999"/>
            <w:tcMar>
              <w:top w:w="100" w:type="dxa"/>
              <w:start w:w="120" w:type="dxa"/>
              <w:bottom w:w="100" w:type="dxa"/>
              <w:end w:w="120" w:type="dxa"/>
            </w:tcMar>
            <w:vAlign w:val="center"/>
          </w:tcPr>
          <w:p>
            <w:pPr>
              <w:spacing w:after="0" w:line="240" w:lineRule="auto"/>
            </w:pPr>
            <w:r>
              <w:rPr>
                <w:sz w:val="17"/>
              </w:rPr>
              <w:t>Invoke user pipeline under a candidate config</w:t>
            </w:r>
          </w:p>
        </w:tc>
        <w:tc>
          <w:tcPr>
            <w:tcW w:type="dxa" w:w="1999"/>
            <w:tcMar>
              <w:top w:w="100" w:type="dxa"/>
              <w:start w:w="120" w:type="dxa"/>
              <w:bottom w:w="100" w:type="dxa"/>
              <w:end w:w="120" w:type="dxa"/>
            </w:tcMar>
            <w:vAlign w:val="center"/>
          </w:tcPr>
          <w:p>
            <w:pPr>
              <w:spacing w:after="0" w:line="240" w:lineRule="auto"/>
            </w:pPr>
            <w:r>
              <w:rPr>
                <w:sz w:val="17"/>
              </w:rPr>
              <w:t>Query, sample, config, context</w:t>
            </w:r>
          </w:p>
        </w:tc>
        <w:tc>
          <w:tcPr>
            <w:tcW w:type="dxa" w:w="1999"/>
            <w:tcMar>
              <w:top w:w="100" w:type="dxa"/>
              <w:start w:w="120" w:type="dxa"/>
              <w:bottom w:w="100" w:type="dxa"/>
              <w:end w:w="120" w:type="dxa"/>
            </w:tcMar>
            <w:vAlign w:val="center"/>
          </w:tcPr>
          <w:p>
            <w:pPr>
              <w:spacing w:after="0" w:line="240" w:lineRule="auto"/>
            </w:pPr>
            <w:r>
              <w:rPr>
                <w:sz w:val="17"/>
              </w:rPr>
              <w:t>RunResult</w:t>
            </w:r>
          </w:p>
        </w:tc>
        <w:tc>
          <w:tcPr>
            <w:tcW w:type="dxa" w:w="1999"/>
            <w:tcMar>
              <w:top w:w="100" w:type="dxa"/>
              <w:start w:w="120" w:type="dxa"/>
              <w:bottom w:w="100" w:type="dxa"/>
              <w:end w:w="120" w:type="dxa"/>
            </w:tcMar>
            <w:vAlign w:val="center"/>
          </w:tcPr>
          <w:p>
            <w:pPr>
              <w:spacing w:after="0" w:line="240" w:lineRule="auto"/>
            </w:pPr>
            <w:r>
              <w:rPr>
                <w:sz w:val="17"/>
              </w:rPr>
              <w:t>User supplied; reference example included</w:t>
            </w:r>
          </w:p>
        </w:tc>
      </w:tr>
      <w:tr>
        <w:tc>
          <w:tcPr>
            <w:tcW w:type="dxa" w:w="1999"/>
            <w:tcMar>
              <w:top w:w="100" w:type="dxa"/>
              <w:start w:w="120" w:type="dxa"/>
              <w:bottom w:w="100" w:type="dxa"/>
              <w:end w:w="120" w:type="dxa"/>
            </w:tcMar>
            <w:vAlign w:val="center"/>
            <w:shd w:fill="F5F7F8"/>
          </w:tcPr>
          <w:p>
            <w:pPr>
              <w:spacing w:after="0" w:line="240" w:lineRule="auto"/>
            </w:pPr>
            <w:r>
              <w:rPr>
                <w:sz w:val="17"/>
              </w:rPr>
              <w:t>SearchSpace</w:t>
            </w:r>
          </w:p>
        </w:tc>
        <w:tc>
          <w:tcPr>
            <w:tcW w:type="dxa" w:w="1999"/>
            <w:tcMar>
              <w:top w:w="100" w:type="dxa"/>
              <w:start w:w="120" w:type="dxa"/>
              <w:bottom w:w="100" w:type="dxa"/>
              <w:end w:w="120" w:type="dxa"/>
            </w:tcMar>
            <w:vAlign w:val="center"/>
            <w:shd w:fill="F5F7F8"/>
          </w:tcPr>
          <w:p>
            <w:pPr>
              <w:spacing w:after="0" w:line="240" w:lineRule="auto"/>
            </w:pPr>
            <w:r>
              <w:rPr>
                <w:sz w:val="17"/>
              </w:rPr>
              <w:t>Validate, normalize, hash, and sample parameter domains</w:t>
            </w:r>
          </w:p>
        </w:tc>
        <w:tc>
          <w:tcPr>
            <w:tcW w:type="dxa" w:w="1999"/>
            <w:tcMar>
              <w:top w:w="100" w:type="dxa"/>
              <w:start w:w="120" w:type="dxa"/>
              <w:bottom w:w="100" w:type="dxa"/>
              <w:end w:w="120" w:type="dxa"/>
            </w:tcMar>
            <w:vAlign w:val="center"/>
            <w:shd w:fill="F5F7F8"/>
          </w:tcPr>
          <w:p>
            <w:pPr>
              <w:spacing w:after="0" w:line="240" w:lineRule="auto"/>
            </w:pPr>
            <w:r>
              <w:rPr>
                <w:sz w:val="17"/>
              </w:rPr>
              <w:t>Parameter declarations and candidate values</w:t>
            </w:r>
          </w:p>
        </w:tc>
        <w:tc>
          <w:tcPr>
            <w:tcW w:type="dxa" w:w="1999"/>
            <w:tcMar>
              <w:top w:w="100" w:type="dxa"/>
              <w:start w:w="120" w:type="dxa"/>
              <w:bottom w:w="100" w:type="dxa"/>
              <w:end w:w="120" w:type="dxa"/>
            </w:tcMar>
            <w:vAlign w:val="center"/>
            <w:shd w:fill="F5F7F8"/>
          </w:tcPr>
          <w:p>
            <w:pPr>
              <w:spacing w:after="0" w:line="240" w:lineRule="auto"/>
            </w:pPr>
            <w:r>
              <w:rPr>
                <w:sz w:val="17"/>
              </w:rPr>
              <w:t>Canonical candidate</w:t>
            </w:r>
          </w:p>
        </w:tc>
        <w:tc>
          <w:tcPr>
            <w:tcW w:type="dxa" w:w="1999"/>
            <w:tcMar>
              <w:top w:w="100" w:type="dxa"/>
              <w:start w:w="120" w:type="dxa"/>
              <w:bottom w:w="100" w:type="dxa"/>
              <w:end w:w="120" w:type="dxa"/>
            </w:tcMar>
            <w:vAlign w:val="center"/>
            <w:shd w:fill="F5F7F8"/>
          </w:tcPr>
          <w:p>
            <w:pPr>
              <w:spacing w:after="0" w:line="240" w:lineRule="auto"/>
            </w:pPr>
            <w:r>
              <w:rPr>
                <w:sz w:val="17"/>
              </w:rPr>
              <w:t>Core</w:t>
            </w:r>
          </w:p>
        </w:tc>
      </w:tr>
      <w:tr>
        <w:tc>
          <w:tcPr>
            <w:tcW w:type="dxa" w:w="1999"/>
            <w:tcMar>
              <w:top w:w="100" w:type="dxa"/>
              <w:start w:w="120" w:type="dxa"/>
              <w:bottom w:w="100" w:type="dxa"/>
              <w:end w:w="120" w:type="dxa"/>
            </w:tcMar>
            <w:vAlign w:val="center"/>
          </w:tcPr>
          <w:p>
            <w:pPr>
              <w:spacing w:after="0" w:line="240" w:lineRule="auto"/>
            </w:pPr>
            <w:r>
              <w:rPr>
                <w:sz w:val="17"/>
              </w:rPr>
              <w:t>SearchStrategy</w:t>
            </w:r>
          </w:p>
        </w:tc>
        <w:tc>
          <w:tcPr>
            <w:tcW w:type="dxa" w:w="1999"/>
            <w:tcMar>
              <w:top w:w="100" w:type="dxa"/>
              <w:start w:w="120" w:type="dxa"/>
              <w:bottom w:w="100" w:type="dxa"/>
              <w:end w:w="120" w:type="dxa"/>
            </w:tcMar>
            <w:vAlign w:val="center"/>
          </w:tcPr>
          <w:p>
            <w:pPr>
              <w:spacing w:after="0" w:line="240" w:lineRule="auto"/>
            </w:pPr>
            <w:r>
              <w:rPr>
                <w:sz w:val="17"/>
              </w:rPr>
              <w:t>Propose candidates and learn from observations</w:t>
            </w:r>
          </w:p>
        </w:tc>
        <w:tc>
          <w:tcPr>
            <w:tcW w:type="dxa" w:w="1999"/>
            <w:tcMar>
              <w:top w:w="100" w:type="dxa"/>
              <w:start w:w="120" w:type="dxa"/>
              <w:bottom w:w="100" w:type="dxa"/>
              <w:end w:w="120" w:type="dxa"/>
            </w:tcMar>
            <w:vAlign w:val="center"/>
          </w:tcPr>
          <w:p>
            <w:pPr>
              <w:spacing w:after="0" w:line="240" w:lineRule="auto"/>
            </w:pPr>
            <w:r>
              <w:rPr>
                <w:sz w:val="17"/>
              </w:rPr>
              <w:t>Search space and study summary</w:t>
            </w:r>
          </w:p>
        </w:tc>
        <w:tc>
          <w:tcPr>
            <w:tcW w:type="dxa" w:w="1999"/>
            <w:tcMar>
              <w:top w:w="100" w:type="dxa"/>
              <w:start w:w="120" w:type="dxa"/>
              <w:bottom w:w="100" w:type="dxa"/>
              <w:end w:w="120" w:type="dxa"/>
            </w:tcMar>
            <w:vAlign w:val="center"/>
          </w:tcPr>
          <w:p>
            <w:pPr>
              <w:spacing w:after="0" w:line="240" w:lineRule="auto"/>
            </w:pPr>
            <w:r>
              <w:rPr>
                <w:sz w:val="17"/>
              </w:rPr>
              <w:t>Candidate batch</w:t>
            </w:r>
          </w:p>
        </w:tc>
        <w:tc>
          <w:tcPr>
            <w:tcW w:type="dxa" w:w="1999"/>
            <w:tcMar>
              <w:top w:w="100" w:type="dxa"/>
              <w:start w:w="120" w:type="dxa"/>
              <w:bottom w:w="100" w:type="dxa"/>
              <w:end w:w="120" w:type="dxa"/>
            </w:tcMar>
            <w:vAlign w:val="center"/>
          </w:tcPr>
          <w:p>
            <w:pPr>
              <w:spacing w:after="0" w:line="240" w:lineRule="auto"/>
            </w:pPr>
            <w:r>
              <w:rPr>
                <w:sz w:val="17"/>
              </w:rPr>
              <w:t>RandomSearch and LLMSearch</w:t>
            </w:r>
          </w:p>
        </w:tc>
      </w:tr>
      <w:tr>
        <w:tc>
          <w:tcPr>
            <w:tcW w:type="dxa" w:w="1999"/>
            <w:tcMar>
              <w:top w:w="100" w:type="dxa"/>
              <w:start w:w="120" w:type="dxa"/>
              <w:bottom w:w="100" w:type="dxa"/>
              <w:end w:w="120" w:type="dxa"/>
            </w:tcMar>
            <w:vAlign w:val="center"/>
            <w:shd w:fill="F5F7F8"/>
          </w:tcPr>
          <w:p>
            <w:pPr>
              <w:spacing w:after="0" w:line="240" w:lineRule="auto"/>
            </w:pPr>
            <w:r>
              <w:rPr>
                <w:sz w:val="17"/>
              </w:rPr>
              <w:t>Evaluator</w:t>
            </w:r>
          </w:p>
        </w:tc>
        <w:tc>
          <w:tcPr>
            <w:tcW w:type="dxa" w:w="1999"/>
            <w:tcMar>
              <w:top w:w="100" w:type="dxa"/>
              <w:start w:w="120" w:type="dxa"/>
              <w:bottom w:w="100" w:type="dxa"/>
              <w:end w:w="120" w:type="dxa"/>
            </w:tcMar>
            <w:vAlign w:val="center"/>
            <w:shd w:fill="F5F7F8"/>
          </w:tcPr>
          <w:p>
            <w:pPr>
              <w:spacing w:after="0" w:line="240" w:lineRule="auto"/>
            </w:pPr>
            <w:r>
              <w:rPr>
                <w:sz w:val="17"/>
              </w:rPr>
              <w:t>Produce one or more named metrics</w:t>
            </w:r>
          </w:p>
        </w:tc>
        <w:tc>
          <w:tcPr>
            <w:tcW w:type="dxa" w:w="1999"/>
            <w:tcMar>
              <w:top w:w="100" w:type="dxa"/>
              <w:start w:w="120" w:type="dxa"/>
              <w:bottom w:w="100" w:type="dxa"/>
              <w:end w:w="120" w:type="dxa"/>
            </w:tcMar>
            <w:vAlign w:val="center"/>
            <w:shd w:fill="F5F7F8"/>
          </w:tcPr>
          <w:p>
            <w:pPr>
              <w:spacing w:after="0" w:line="240" w:lineRule="auto"/>
            </w:pPr>
            <w:r>
              <w:rPr>
                <w:sz w:val="17"/>
              </w:rPr>
              <w:t>EvaluationSample and RunResult</w:t>
            </w:r>
          </w:p>
        </w:tc>
        <w:tc>
          <w:tcPr>
            <w:tcW w:type="dxa" w:w="1999"/>
            <w:tcMar>
              <w:top w:w="100" w:type="dxa"/>
              <w:start w:w="120" w:type="dxa"/>
              <w:bottom w:w="100" w:type="dxa"/>
              <w:end w:w="120" w:type="dxa"/>
            </w:tcMar>
            <w:vAlign w:val="center"/>
            <w:shd w:fill="F5F7F8"/>
          </w:tcPr>
          <w:p>
            <w:pPr>
              <w:spacing w:after="0" w:line="240" w:lineRule="auto"/>
            </w:pPr>
            <w:r>
              <w:rPr>
                <w:sz w:val="17"/>
              </w:rPr>
              <w:t>MetricSet</w:t>
            </w:r>
          </w:p>
        </w:tc>
        <w:tc>
          <w:tcPr>
            <w:tcW w:type="dxa" w:w="1999"/>
            <w:tcMar>
              <w:top w:w="100" w:type="dxa"/>
              <w:start w:w="120" w:type="dxa"/>
              <w:bottom w:w="100" w:type="dxa"/>
              <w:end w:w="120" w:type="dxa"/>
            </w:tcMar>
            <w:vAlign w:val="center"/>
            <w:shd w:fill="F5F7F8"/>
          </w:tcPr>
          <w:p>
            <w:pPr>
              <w:spacing w:after="0" w:line="240" w:lineRule="auto"/>
            </w:pPr>
            <w:r>
              <w:rPr>
                <w:sz w:val="17"/>
              </w:rPr>
              <w:t>User evaluators and optional RAGAS</w:t>
            </w:r>
          </w:p>
        </w:tc>
      </w:tr>
      <w:tr>
        <w:tc>
          <w:tcPr>
            <w:tcW w:type="dxa" w:w="1999"/>
            <w:tcMar>
              <w:top w:w="100" w:type="dxa"/>
              <w:start w:w="120" w:type="dxa"/>
              <w:bottom w:w="100" w:type="dxa"/>
              <w:end w:w="120" w:type="dxa"/>
            </w:tcMar>
            <w:vAlign w:val="center"/>
          </w:tcPr>
          <w:p>
            <w:pPr>
              <w:spacing w:after="0" w:line="240" w:lineRule="auto"/>
            </w:pPr>
            <w:r>
              <w:rPr>
                <w:sz w:val="17"/>
              </w:rPr>
              <w:t>Objective</w:t>
            </w:r>
          </w:p>
        </w:tc>
        <w:tc>
          <w:tcPr>
            <w:tcW w:type="dxa" w:w="1999"/>
            <w:tcMar>
              <w:top w:w="100" w:type="dxa"/>
              <w:start w:w="120" w:type="dxa"/>
              <w:bottom w:w="100" w:type="dxa"/>
              <w:end w:w="120" w:type="dxa"/>
            </w:tcMar>
            <w:vAlign w:val="center"/>
          </w:tcPr>
          <w:p>
            <w:pPr>
              <w:spacing w:after="0" w:line="240" w:lineRule="auto"/>
            </w:pPr>
            <w:r>
              <w:rPr>
                <w:sz w:val="17"/>
              </w:rPr>
              <w:t>Convert metrics and usage into comparable score</w:t>
            </w:r>
          </w:p>
        </w:tc>
        <w:tc>
          <w:tcPr>
            <w:tcW w:type="dxa" w:w="1999"/>
            <w:tcMar>
              <w:top w:w="100" w:type="dxa"/>
              <w:start w:w="120" w:type="dxa"/>
              <w:bottom w:w="100" w:type="dxa"/>
              <w:end w:w="120" w:type="dxa"/>
            </w:tcMar>
            <w:vAlign w:val="center"/>
          </w:tcPr>
          <w:p>
            <w:pPr>
              <w:spacing w:after="0" w:line="240" w:lineRule="auto"/>
            </w:pPr>
            <w:r>
              <w:rPr>
                <w:sz w:val="17"/>
              </w:rPr>
              <w:t>Aggregated metrics and constraints</w:t>
            </w:r>
          </w:p>
        </w:tc>
        <w:tc>
          <w:tcPr>
            <w:tcW w:type="dxa" w:w="1999"/>
            <w:tcMar>
              <w:top w:w="100" w:type="dxa"/>
              <w:start w:w="120" w:type="dxa"/>
              <w:bottom w:w="100" w:type="dxa"/>
              <w:end w:w="120" w:type="dxa"/>
            </w:tcMar>
            <w:vAlign w:val="center"/>
          </w:tcPr>
          <w:p>
            <w:pPr>
              <w:spacing w:after="0" w:line="240" w:lineRule="auto"/>
            </w:pPr>
            <w:r>
              <w:rPr>
                <w:sz w:val="17"/>
              </w:rPr>
              <w:t>ObjectiveResult</w:t>
            </w:r>
          </w:p>
        </w:tc>
        <w:tc>
          <w:tcPr>
            <w:tcW w:type="dxa" w:w="1999"/>
            <w:tcMar>
              <w:top w:w="100" w:type="dxa"/>
              <w:start w:w="120" w:type="dxa"/>
              <w:bottom w:w="100" w:type="dxa"/>
              <w:end w:w="120" w:type="dxa"/>
            </w:tcMar>
            <w:vAlign w:val="center"/>
          </w:tcPr>
          <w:p>
            <w:pPr>
              <w:spacing w:after="0" w:line="240" w:lineRule="auto"/>
            </w:pPr>
            <w:r>
              <w:rPr>
                <w:sz w:val="17"/>
              </w:rPr>
              <w:t>Metric, weighted, callable</w:t>
            </w:r>
          </w:p>
        </w:tc>
      </w:tr>
      <w:tr>
        <w:tc>
          <w:tcPr>
            <w:tcW w:type="dxa" w:w="1999"/>
            <w:tcMar>
              <w:top w:w="100" w:type="dxa"/>
              <w:start w:w="120" w:type="dxa"/>
              <w:bottom w:w="100" w:type="dxa"/>
              <w:end w:w="120" w:type="dxa"/>
            </w:tcMar>
            <w:vAlign w:val="center"/>
            <w:shd w:fill="F5F7F8"/>
          </w:tcPr>
          <w:p>
            <w:pPr>
              <w:spacing w:after="0" w:line="240" w:lineRule="auto"/>
            </w:pPr>
            <w:r>
              <w:rPr>
                <w:sz w:val="17"/>
              </w:rPr>
              <w:t>ExperimentStore</w:t>
            </w:r>
          </w:p>
        </w:tc>
        <w:tc>
          <w:tcPr>
            <w:tcW w:type="dxa" w:w="1999"/>
            <w:tcMar>
              <w:top w:w="100" w:type="dxa"/>
              <w:start w:w="120" w:type="dxa"/>
              <w:bottom w:w="100" w:type="dxa"/>
              <w:end w:w="120" w:type="dxa"/>
            </w:tcMar>
            <w:vAlign w:val="center"/>
            <w:shd w:fill="F5F7F8"/>
          </w:tcPr>
          <w:p>
            <w:pPr>
              <w:spacing w:after="0" w:line="240" w:lineRule="auto"/>
            </w:pPr>
            <w:r>
              <w:rPr>
                <w:sz w:val="17"/>
              </w:rPr>
              <w:t>Persist durable study, trial, metrics, usage, and events</w:t>
            </w:r>
          </w:p>
        </w:tc>
        <w:tc>
          <w:tcPr>
            <w:tcW w:type="dxa" w:w="1999"/>
            <w:tcMar>
              <w:top w:w="100" w:type="dxa"/>
              <w:start w:w="120" w:type="dxa"/>
              <w:bottom w:w="100" w:type="dxa"/>
              <w:end w:w="120" w:type="dxa"/>
            </w:tcMar>
            <w:vAlign w:val="center"/>
            <w:shd w:fill="F5F7F8"/>
          </w:tcPr>
          <w:p>
            <w:pPr>
              <w:spacing w:after="0" w:line="240" w:lineRule="auto"/>
            </w:pPr>
            <w:r>
              <w:rPr>
                <w:sz w:val="17"/>
              </w:rPr>
              <w:t>Domain records</w:t>
            </w:r>
          </w:p>
        </w:tc>
        <w:tc>
          <w:tcPr>
            <w:tcW w:type="dxa" w:w="1999"/>
            <w:tcMar>
              <w:top w:w="100" w:type="dxa"/>
              <w:start w:w="120" w:type="dxa"/>
              <w:bottom w:w="100" w:type="dxa"/>
              <w:end w:w="120" w:type="dxa"/>
            </w:tcMar>
            <w:vAlign w:val="center"/>
            <w:shd w:fill="F5F7F8"/>
          </w:tcPr>
          <w:p>
            <w:pPr>
              <w:spacing w:after="0" w:line="240" w:lineRule="auto"/>
            </w:pPr>
            <w:r>
              <w:rPr>
                <w:sz w:val="17"/>
              </w:rPr>
              <w:t>Queries and transactions</w:t>
            </w:r>
          </w:p>
        </w:tc>
        <w:tc>
          <w:tcPr>
            <w:tcW w:type="dxa" w:w="1999"/>
            <w:tcMar>
              <w:top w:w="100" w:type="dxa"/>
              <w:start w:w="120" w:type="dxa"/>
              <w:bottom w:w="100" w:type="dxa"/>
              <w:end w:w="120" w:type="dxa"/>
            </w:tcMar>
            <w:vAlign w:val="center"/>
            <w:shd w:fill="F5F7F8"/>
          </w:tcPr>
          <w:p>
            <w:pPr>
              <w:spacing w:after="0" w:line="240" w:lineRule="auto"/>
            </w:pPr>
            <w:r>
              <w:rPr>
                <w:sz w:val="17"/>
              </w:rPr>
              <w:t>SQLite default</w:t>
            </w:r>
          </w:p>
        </w:tc>
      </w:tr>
      <w:tr>
        <w:tc>
          <w:tcPr>
            <w:tcW w:type="dxa" w:w="1999"/>
            <w:tcMar>
              <w:top w:w="100" w:type="dxa"/>
              <w:start w:w="120" w:type="dxa"/>
              <w:bottom w:w="100" w:type="dxa"/>
              <w:end w:w="120" w:type="dxa"/>
            </w:tcMar>
            <w:vAlign w:val="center"/>
          </w:tcPr>
          <w:p>
            <w:pPr>
              <w:spacing w:after="0" w:line="240" w:lineRule="auto"/>
            </w:pPr>
            <w:r>
              <w:rPr>
                <w:sz w:val="17"/>
              </w:rPr>
              <w:t>Cache</w:t>
            </w:r>
          </w:p>
        </w:tc>
        <w:tc>
          <w:tcPr>
            <w:tcW w:type="dxa" w:w="1999"/>
            <w:tcMar>
              <w:top w:w="100" w:type="dxa"/>
              <w:start w:w="120" w:type="dxa"/>
              <w:bottom w:w="100" w:type="dxa"/>
              <w:end w:w="120" w:type="dxa"/>
            </w:tcMar>
            <w:vAlign w:val="center"/>
          </w:tcPr>
          <w:p>
            <w:pPr>
              <w:spacing w:after="0" w:line="240" w:lineRule="auto"/>
            </w:pPr>
            <w:r>
              <w:rPr>
                <w:sz w:val="17"/>
              </w:rPr>
              <w:t>Reuse deterministic intermediate or final results</w:t>
            </w:r>
          </w:p>
        </w:tc>
        <w:tc>
          <w:tcPr>
            <w:tcW w:type="dxa" w:w="1999"/>
            <w:tcMar>
              <w:top w:w="100" w:type="dxa"/>
              <w:start w:w="120" w:type="dxa"/>
              <w:bottom w:w="100" w:type="dxa"/>
              <w:end w:w="120" w:type="dxa"/>
            </w:tcMar>
            <w:vAlign w:val="center"/>
          </w:tcPr>
          <w:p>
            <w:pPr>
              <w:spacing w:after="0" w:line="240" w:lineRule="auto"/>
            </w:pPr>
            <w:r>
              <w:rPr>
                <w:sz w:val="17"/>
              </w:rPr>
              <w:t>Namespaced canonical key</w:t>
            </w:r>
          </w:p>
        </w:tc>
        <w:tc>
          <w:tcPr>
            <w:tcW w:type="dxa" w:w="1999"/>
            <w:tcMar>
              <w:top w:w="100" w:type="dxa"/>
              <w:start w:w="120" w:type="dxa"/>
              <w:bottom w:w="100" w:type="dxa"/>
              <w:end w:w="120" w:type="dxa"/>
            </w:tcMar>
            <w:vAlign w:val="center"/>
          </w:tcPr>
          <w:p>
            <w:pPr>
              <w:spacing w:after="0" w:line="240" w:lineRule="auto"/>
            </w:pPr>
            <w:r>
              <w:rPr>
                <w:sz w:val="17"/>
              </w:rPr>
              <w:t>Cached typed payload</w:t>
            </w:r>
          </w:p>
        </w:tc>
        <w:tc>
          <w:tcPr>
            <w:tcW w:type="dxa" w:w="1999"/>
            <w:tcMar>
              <w:top w:w="100" w:type="dxa"/>
              <w:start w:w="120" w:type="dxa"/>
              <w:bottom w:w="100" w:type="dxa"/>
              <w:end w:w="120" w:type="dxa"/>
            </w:tcMar>
            <w:vAlign w:val="center"/>
          </w:tcPr>
          <w:p>
            <w:pPr>
              <w:spacing w:after="0" w:line="240" w:lineRule="auto"/>
            </w:pPr>
            <w:r>
              <w:rPr>
                <w:sz w:val="17"/>
              </w:rPr>
              <w:t>SQLite metadata plus file payloads</w:t>
            </w:r>
          </w:p>
        </w:tc>
      </w:tr>
      <w:tr>
        <w:tc>
          <w:tcPr>
            <w:tcW w:type="dxa" w:w="1999"/>
            <w:tcMar>
              <w:top w:w="100" w:type="dxa"/>
              <w:start w:w="120" w:type="dxa"/>
              <w:bottom w:w="100" w:type="dxa"/>
              <w:end w:w="120" w:type="dxa"/>
            </w:tcMar>
            <w:vAlign w:val="center"/>
            <w:shd w:fill="F5F7F8"/>
          </w:tcPr>
          <w:p>
            <w:pPr>
              <w:spacing w:after="0" w:line="240" w:lineRule="auto"/>
            </w:pPr>
            <w:r>
              <w:rPr>
                <w:sz w:val="17"/>
              </w:rPr>
              <w:t>Event bus</w:t>
            </w:r>
          </w:p>
        </w:tc>
        <w:tc>
          <w:tcPr>
            <w:tcW w:type="dxa" w:w="1999"/>
            <w:tcMar>
              <w:top w:w="100" w:type="dxa"/>
              <w:start w:w="120" w:type="dxa"/>
              <w:bottom w:w="100" w:type="dxa"/>
              <w:end w:w="120" w:type="dxa"/>
            </w:tcMar>
            <w:vAlign w:val="center"/>
            <w:shd w:fill="F5F7F8"/>
          </w:tcPr>
          <w:p>
            <w:pPr>
              <w:spacing w:after="0" w:line="240" w:lineRule="auto"/>
            </w:pPr>
            <w:r>
              <w:rPr>
                <w:sz w:val="17"/>
              </w:rPr>
              <w:t>Deliver lifecycle events without owning state</w:t>
            </w:r>
          </w:p>
        </w:tc>
        <w:tc>
          <w:tcPr>
            <w:tcW w:type="dxa" w:w="1999"/>
            <w:tcMar>
              <w:top w:w="100" w:type="dxa"/>
              <w:start w:w="120" w:type="dxa"/>
              <w:bottom w:w="100" w:type="dxa"/>
              <w:end w:w="120" w:type="dxa"/>
            </w:tcMar>
            <w:vAlign w:val="center"/>
            <w:shd w:fill="F5F7F8"/>
          </w:tcPr>
          <w:p>
            <w:pPr>
              <w:spacing w:after="0" w:line="240" w:lineRule="auto"/>
            </w:pPr>
            <w:r>
              <w:rPr>
                <w:sz w:val="17"/>
              </w:rPr>
              <w:t>Immutable event</w:t>
            </w:r>
          </w:p>
        </w:tc>
        <w:tc>
          <w:tcPr>
            <w:tcW w:type="dxa" w:w="1999"/>
            <w:tcMar>
              <w:top w:w="100" w:type="dxa"/>
              <w:start w:w="120" w:type="dxa"/>
              <w:bottom w:w="100" w:type="dxa"/>
              <w:end w:w="120" w:type="dxa"/>
            </w:tcMar>
            <w:vAlign w:val="center"/>
            <w:shd w:fill="F5F7F8"/>
          </w:tcPr>
          <w:p>
            <w:pPr>
              <w:spacing w:after="0" w:line="240" w:lineRule="auto"/>
            </w:pPr>
            <w:r>
              <w:rPr>
                <w:sz w:val="17"/>
              </w:rPr>
              <w:t>Callback invocations</w:t>
            </w:r>
          </w:p>
        </w:tc>
        <w:tc>
          <w:tcPr>
            <w:tcW w:type="dxa" w:w="1999"/>
            <w:tcMar>
              <w:top w:w="100" w:type="dxa"/>
              <w:start w:w="120" w:type="dxa"/>
              <w:bottom w:w="100" w:type="dxa"/>
              <w:end w:w="120" w:type="dxa"/>
            </w:tcMar>
            <w:vAlign w:val="center"/>
            <w:shd w:fill="F5F7F8"/>
          </w:tcPr>
          <w:p>
            <w:pPr>
              <w:spacing w:after="0" w:line="240" w:lineRule="auto"/>
            </w:pPr>
            <w:r>
              <w:rPr>
                <w:sz w:val="17"/>
              </w:rPr>
              <w:t>In-process async dispatcher</w:t>
            </w:r>
          </w:p>
        </w:tc>
      </w:tr>
      <w:tr>
        <w:tc>
          <w:tcPr>
            <w:tcW w:type="dxa" w:w="1999"/>
            <w:tcMar>
              <w:top w:w="100" w:type="dxa"/>
              <w:start w:w="120" w:type="dxa"/>
              <w:bottom w:w="100" w:type="dxa"/>
              <w:end w:w="120" w:type="dxa"/>
            </w:tcMar>
            <w:vAlign w:val="center"/>
          </w:tcPr>
          <w:p>
            <w:pPr>
              <w:spacing w:after="0" w:line="240" w:lineRule="auto"/>
            </w:pPr>
            <w:r>
              <w:rPr>
                <w:sz w:val="17"/>
              </w:rPr>
              <w:t>Usage collector</w:t>
            </w:r>
          </w:p>
        </w:tc>
        <w:tc>
          <w:tcPr>
            <w:tcW w:type="dxa" w:w="1999"/>
            <w:tcMar>
              <w:top w:w="100" w:type="dxa"/>
              <w:start w:w="120" w:type="dxa"/>
              <w:bottom w:w="100" w:type="dxa"/>
              <w:end w:w="120" w:type="dxa"/>
            </w:tcMar>
            <w:vAlign w:val="center"/>
          </w:tcPr>
          <w:p>
            <w:pPr>
              <w:spacing w:after="0" w:line="240" w:lineRule="auto"/>
            </w:pPr>
            <w:r>
              <w:rPr>
                <w:sz w:val="17"/>
              </w:rPr>
              <w:t>Merge exact and estimated resource use</w:t>
            </w:r>
          </w:p>
        </w:tc>
        <w:tc>
          <w:tcPr>
            <w:tcW w:type="dxa" w:w="1999"/>
            <w:tcMar>
              <w:top w:w="100" w:type="dxa"/>
              <w:start w:w="120" w:type="dxa"/>
              <w:bottom w:w="100" w:type="dxa"/>
              <w:end w:w="120" w:type="dxa"/>
            </w:tcMar>
            <w:vAlign w:val="center"/>
          </w:tcPr>
          <w:p>
            <w:pPr>
              <w:spacing w:after="0" w:line="240" w:lineRule="auto"/>
            </w:pPr>
            <w:r>
              <w:rPr>
                <w:sz w:val="17"/>
              </w:rPr>
              <w:t>Adapter, evaluator, strategy usage</w:t>
            </w:r>
          </w:p>
        </w:tc>
        <w:tc>
          <w:tcPr>
            <w:tcW w:type="dxa" w:w="1999"/>
            <w:tcMar>
              <w:top w:w="100" w:type="dxa"/>
              <w:start w:w="120" w:type="dxa"/>
              <w:bottom w:w="100" w:type="dxa"/>
              <w:end w:w="120" w:type="dxa"/>
            </w:tcMar>
            <w:vAlign w:val="center"/>
          </w:tcPr>
          <w:p>
            <w:pPr>
              <w:spacing w:after="0" w:line="240" w:lineRule="auto"/>
            </w:pPr>
            <w:r>
              <w:rPr>
                <w:sz w:val="17"/>
              </w:rPr>
              <w:t>UsageSummary</w:t>
            </w:r>
          </w:p>
        </w:tc>
        <w:tc>
          <w:tcPr>
            <w:tcW w:type="dxa" w:w="1999"/>
            <w:tcMar>
              <w:top w:w="100" w:type="dxa"/>
              <w:start w:w="120" w:type="dxa"/>
              <w:bottom w:w="100" w:type="dxa"/>
              <w:end w:w="120" w:type="dxa"/>
            </w:tcMar>
            <w:vAlign w:val="center"/>
          </w:tcPr>
          <w:p>
            <w:pPr>
              <w:spacing w:after="0" w:line="240" w:lineRule="auto"/>
            </w:pPr>
            <w:r>
              <w:rPr>
                <w:sz w:val="17"/>
              </w:rPr>
              <w:t>Core</w:t>
            </w:r>
          </w:p>
        </w:tc>
      </w:tr>
    </w:tbl>
    <w:p>
      <w:pPr>
        <w:spacing w:after="20"/>
      </w:pPr>
    </w:p>
    <w:p>
      <w:pPr>
        <w:pStyle w:val="Heading1"/>
      </w:pPr>
      <w:r>
        <w:t>Core domain components</w:t>
      </w:r>
    </w:p>
    <w:p>
      <w:pPr>
        <w:pStyle w:val="Heading2"/>
      </w:pPr>
      <w:r>
        <w:t>Domain models</w:t>
      </w:r>
    </w:p>
    <w:p>
      <w:r>
        <w:t>Domain models represent studies, trials, samples, candidates, metric values, objective results, usage, events, statuses, and fingerprints. They are immutable once emitted outside the owning service. Persistence mappers convert between domain models and database rows.</w:t>
      </w:r>
    </w:p>
    <w:p>
      <w:pPr>
        <w:pStyle w:val="Heading2"/>
      </w:pPr>
      <w:r>
        <w:t>Search space</w:t>
      </w:r>
    </w:p>
    <w:p>
      <w:r>
        <w:t>The search space owns parameter typing and candidate normalization. It is the only component allowed to decide whether a candidate belongs to the declared domain. Strategies suggest values; they do not define validation semantics.</w:t>
      </w:r>
    </w:p>
    <w:p>
      <w:pPr>
        <w:pStyle w:val="Heading2"/>
      </w:pPr>
      <w:r>
        <w:t>Objective</w:t>
      </w:r>
    </w:p>
    <w:p>
      <w:r>
        <w:t>The objective receives aggregated metrics after evaluator execution. It has no access to the adapter or database. This prevents ranking logic from causing side effects and permits score recomputation from persisted components.</w:t>
      </w:r>
    </w:p>
    <w:p>
      <w:pPr>
        <w:pStyle w:val="Heading1"/>
      </w:pPr>
      <w:r>
        <w:t>Orchestration components</w:t>
      </w:r>
    </w:p>
    <w:p>
      <w:pPr>
        <w:pStyle w:val="Heading2"/>
      </w:pPr>
      <w:r>
        <w:t>Optimizer facade</w:t>
      </w:r>
    </w:p>
    <w:p>
      <w:r>
        <w:t xml:space="preserve">The facade provides </w:t>
      </w:r>
      <w:r>
        <w:rPr>
          <w:rFonts w:ascii="Cascadia Mono" w:hAnsi="Cascadia Mono"/>
          <w:sz w:val="18"/>
        </w:rPr>
        <w:t>optimize</w:t>
      </w:r>
      <w:r>
        <w:t xml:space="preserve"> and </w:t>
      </w:r>
      <w:r>
        <w:rPr>
          <w:rFonts w:ascii="Cascadia Mono" w:hAnsi="Cascadia Mono"/>
          <w:sz w:val="18"/>
        </w:rPr>
        <w:t>aoptimize</w:t>
      </w:r>
      <w:r>
        <w:t>, validates top-level compatibility, and returns a rich result. It delegates detailed work to internal services so public API stability does not require one large implementation class.</w:t>
      </w:r>
    </w:p>
    <w:p>
      <w:pPr>
        <w:pStyle w:val="Heading2"/>
      </w:pPr>
      <w:r>
        <w:t>Study controller</w:t>
      </w:r>
    </w:p>
    <w:p>
      <w:r>
        <w:t>The controller advances the study through created, running, stopping, and terminal states. It checks budgets before scheduling and after commits. It reconstructs strategy state from terminal observations on resume.</w:t>
      </w:r>
    </w:p>
    <w:p>
      <w:pPr>
        <w:pStyle w:val="Heading2"/>
      </w:pPr>
      <w:r>
        <w:t>Scheduler</w:t>
      </w:r>
    </w:p>
    <w:p>
      <w:r>
        <w:t>The scheduler requests a bounded batch of suggestions, validates and deduplicates them, reserves trial rows, and starts work up to configured capacity. It does not execute adapters itself.</w:t>
      </w:r>
    </w:p>
    <w:p>
      <w:pPr>
        <w:pStyle w:val="Heading2"/>
      </w:pPr>
      <w:r>
        <w:t>Trial runner</w:t>
      </w:r>
    </w:p>
    <w:p>
      <w:r>
        <w:t>The runner owns the trial attempt lifecycle. It creates a prepared trial, processes samples under sample concurrency, evaluates successful sample results, aggregates metrics, computes the objective, persists terminal state, and tears down resources.</w:t>
      </w:r>
    </w:p>
    <w:p>
      <w:pPr>
        <w:pStyle w:val="Heading1"/>
      </w:pPr>
      <w:r>
        <w:t>Replaceable ports</w:t>
      </w:r>
    </w:p>
    <w:p>
      <w:pPr>
        <w:pStyle w:val="Heading2"/>
      </w:pPr>
      <w:r>
        <w:t>RAGAdapter port</w:t>
      </w:r>
    </w:p>
    <w:p>
      <w:r>
        <w:t xml:space="preserve">Adapter implementations may call local code, a remote service, or an existing framework. They must honor cancellation where possible, return normalized </w:t>
      </w:r>
      <w:r>
        <w:rPr>
          <w:rFonts w:ascii="Cascadia Mono" w:hAnsi="Cascadia Mono"/>
          <w:sz w:val="18"/>
        </w:rPr>
        <w:t>RunResult</w:t>
      </w:r>
      <w:r>
        <w:t xml:space="preserve"> values, and provide a fingerprint suitable for cache and resume compatibility.</w:t>
      </w:r>
    </w:p>
    <w:p>
      <w:pPr>
        <w:pStyle w:val="Heading2"/>
      </w:pPr>
      <w:r>
        <w:t>SearchStrategy port</w:t>
      </w:r>
    </w:p>
    <w:p>
      <w:r>
        <w:t xml:space="preserve">Strategies cannot bypass search-space validation or mutate historical trials. The package gives them a bounded </w:t>
      </w:r>
      <w:r>
        <w:rPr>
          <w:rFonts w:ascii="Cascadia Mono" w:hAnsi="Cascadia Mono"/>
          <w:sz w:val="18"/>
        </w:rPr>
        <w:t>SuggestionRequest</w:t>
      </w:r>
      <w:r>
        <w:t xml:space="preserve"> and ordered observations. This supports deterministic reconstruction and keeps LLM prompting out of the engine.</w:t>
      </w:r>
    </w:p>
    <w:p>
      <w:pPr>
        <w:pStyle w:val="Heading2"/>
      </w:pPr>
      <w:r>
        <w:t>Evaluator port</w:t>
      </w:r>
    </w:p>
    <w:p>
      <w:r>
        <w:t>Each evaluator produces namespaced metrics. Evaluators declare required sample fields and whether they support batches. The evaluation pipeline can skip an evaluator when required ground truth is absent only if policy permits it.</w:t>
      </w:r>
    </w:p>
    <w:p>
      <w:pPr>
        <w:pStyle w:val="Heading2"/>
      </w:pPr>
      <w:r>
        <w:t>ExperimentStore port</w:t>
      </w:r>
    </w:p>
    <w:p>
      <w:r>
        <w:t>The store exposes domain-level operations such as create study, reserve trial, commit result, append event, and load resume snapshot. It does not expose arbitrary SQL through the public API.</w:t>
      </w:r>
    </w:p>
    <w:p>
      <w:pPr>
        <w:pStyle w:val="Heading1"/>
      </w:pPr>
      <w:r>
        <w:t>Optional integrations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Integration</w:t>
            </w:r>
          </w:p>
        </w:tc>
        <w:tc>
          <w:tcPr>
            <w:tcW w:type="dxa" w:w="2498"/>
            <w:shd w:fill="17324D"/>
            <w:tcMar>
              <w:top w:w="115" w:type="dxa"/>
              <w:start w:w="120" w:type="dxa"/>
              <w:bottom w:w="115" w:type="dxa"/>
              <w:end w:w="120" w:type="dxa"/>
            </w:tcMar>
            <w:vAlign w:val="center"/>
          </w:tcPr>
          <w:p>
            <w:r>
              <w:rPr>
                <w:b/>
                <w:color w:val="FFFFFF"/>
                <w:sz w:val="18"/>
              </w:rPr>
              <w:t>Package area</w:t>
            </w:r>
          </w:p>
        </w:tc>
        <w:tc>
          <w:tcPr>
            <w:tcW w:type="dxa" w:w="2498"/>
            <w:shd w:fill="17324D"/>
            <w:tcMar>
              <w:top w:w="115" w:type="dxa"/>
              <w:start w:w="120" w:type="dxa"/>
              <w:bottom w:w="115" w:type="dxa"/>
              <w:end w:w="120" w:type="dxa"/>
            </w:tcMar>
            <w:vAlign w:val="center"/>
          </w:tcPr>
          <w:p>
            <w:r>
              <w:rPr>
                <w:b/>
                <w:color w:val="FFFFFF"/>
                <w:sz w:val="18"/>
              </w:rPr>
              <w:t>Boundary rule</w:t>
            </w:r>
          </w:p>
        </w:tc>
        <w:tc>
          <w:tcPr>
            <w:tcW w:type="dxa" w:w="2498"/>
            <w:shd w:fill="17324D"/>
            <w:tcMar>
              <w:top w:w="115" w:type="dxa"/>
              <w:start w:w="120" w:type="dxa"/>
              <w:bottom w:w="115" w:type="dxa"/>
              <w:end w:w="120" w:type="dxa"/>
            </w:tcMar>
            <w:vAlign w:val="center"/>
          </w:tcPr>
          <w:p>
            <w:r>
              <w:rPr>
                <w:b/>
                <w:color w:val="FFFFFF"/>
                <w:sz w:val="18"/>
              </w:rPr>
              <w:t>Planned release</w:t>
            </w:r>
          </w:p>
        </w:tc>
      </w:tr>
      <w:tr>
        <w:tc>
          <w:tcPr>
            <w:tcW w:type="dxa" w:w="2498"/>
            <w:tcMar>
              <w:top w:w="100" w:type="dxa"/>
              <w:start w:w="120" w:type="dxa"/>
              <w:bottom w:w="100" w:type="dxa"/>
              <w:end w:w="120" w:type="dxa"/>
            </w:tcMar>
            <w:vAlign w:val="center"/>
          </w:tcPr>
          <w:p>
            <w:pPr>
              <w:spacing w:after="0" w:line="240" w:lineRule="auto"/>
            </w:pPr>
            <w:r>
              <w:rPr>
                <w:sz w:val="17"/>
              </w:rPr>
              <w:t>RAGAS</w:t>
            </w:r>
          </w:p>
        </w:tc>
        <w:tc>
          <w:tcPr>
            <w:tcW w:type="dxa" w:w="2498"/>
            <w:tcMar>
              <w:top w:w="100" w:type="dxa"/>
              <w:start w:w="120" w:type="dxa"/>
              <w:bottom w:w="100" w:type="dxa"/>
              <w:end w:w="120" w:type="dxa"/>
            </w:tcMar>
            <w:vAlign w:val="center"/>
          </w:tcPr>
          <w:p>
            <w:pPr>
              <w:spacing w:after="0" w:line="240" w:lineRule="auto"/>
            </w:pPr>
            <w:r>
              <w:rPr>
                <w:sz w:val="17"/>
              </w:rPr>
              <w:t>`autorag_tuner.integrations.ragas`</w:t>
            </w:r>
          </w:p>
        </w:tc>
        <w:tc>
          <w:tcPr>
            <w:tcW w:type="dxa" w:w="2498"/>
            <w:tcMar>
              <w:top w:w="100" w:type="dxa"/>
              <w:start w:w="120" w:type="dxa"/>
              <w:bottom w:w="100" w:type="dxa"/>
              <w:end w:w="120" w:type="dxa"/>
            </w:tcMar>
            <w:vAlign w:val="center"/>
          </w:tcPr>
          <w:p>
            <w:pPr>
              <w:spacing w:after="0" w:line="240" w:lineRule="auto"/>
            </w:pPr>
            <w:r>
              <w:rPr>
                <w:sz w:val="17"/>
              </w:rPr>
              <w:t>Converts package samples and results to RAGAS inputs</w:t>
            </w:r>
          </w:p>
        </w:tc>
        <w:tc>
          <w:tcPr>
            <w:tcW w:type="dxa" w:w="2498"/>
            <w:tcMar>
              <w:top w:w="100" w:type="dxa"/>
              <w:start w:w="120" w:type="dxa"/>
              <w:bottom w:w="100" w:type="dxa"/>
              <w:end w:w="120" w:type="dxa"/>
            </w:tcMar>
            <w:vAlign w:val="center"/>
          </w:tcPr>
          <w:p>
            <w:pPr>
              <w:spacing w:after="0" w:line="240" w:lineRule="auto"/>
            </w:pPr>
            <w:r>
              <w:rPr>
                <w:sz w:val="17"/>
              </w:rPr>
              <w:t>V0.1</w:t>
            </w:r>
          </w:p>
        </w:tc>
      </w:tr>
      <w:tr>
        <w:tc>
          <w:tcPr>
            <w:tcW w:type="dxa" w:w="2498"/>
            <w:tcMar>
              <w:top w:w="100" w:type="dxa"/>
              <w:start w:w="120" w:type="dxa"/>
              <w:bottom w:w="100" w:type="dxa"/>
              <w:end w:w="120" w:type="dxa"/>
            </w:tcMar>
            <w:vAlign w:val="center"/>
            <w:shd w:fill="F5F7F8"/>
          </w:tcPr>
          <w:p>
            <w:pPr>
              <w:spacing w:after="0" w:line="240" w:lineRule="auto"/>
            </w:pPr>
            <w:r>
              <w:rPr>
                <w:sz w:val="17"/>
              </w:rPr>
              <w:t>MLflow</w:t>
            </w:r>
          </w:p>
        </w:tc>
        <w:tc>
          <w:tcPr>
            <w:tcW w:type="dxa" w:w="2498"/>
            <w:tcMar>
              <w:top w:w="100" w:type="dxa"/>
              <w:start w:w="120" w:type="dxa"/>
              <w:bottom w:w="100" w:type="dxa"/>
              <w:end w:w="120" w:type="dxa"/>
            </w:tcMar>
            <w:vAlign w:val="center"/>
            <w:shd w:fill="F5F7F8"/>
          </w:tcPr>
          <w:p>
            <w:pPr>
              <w:spacing w:after="0" w:line="240" w:lineRule="auto"/>
            </w:pPr>
            <w:r>
              <w:rPr>
                <w:sz w:val="17"/>
              </w:rPr>
              <w:t>`autorag_tuner.integrations.mlflow`</w:t>
            </w:r>
          </w:p>
        </w:tc>
        <w:tc>
          <w:tcPr>
            <w:tcW w:type="dxa" w:w="2498"/>
            <w:tcMar>
              <w:top w:w="100" w:type="dxa"/>
              <w:start w:w="120" w:type="dxa"/>
              <w:bottom w:w="100" w:type="dxa"/>
              <w:end w:w="120" w:type="dxa"/>
            </w:tcMar>
            <w:vAlign w:val="center"/>
            <w:shd w:fill="F5F7F8"/>
          </w:tcPr>
          <w:p>
            <w:pPr>
              <w:spacing w:after="0" w:line="240" w:lineRule="auto"/>
            </w:pPr>
            <w:r>
              <w:rPr>
                <w:sz w:val="17"/>
              </w:rPr>
              <w:t>Mirrors committed records and artifact links</w:t>
            </w:r>
          </w:p>
        </w:tc>
        <w:tc>
          <w:tcPr>
            <w:tcW w:type="dxa" w:w="2498"/>
            <w:tcMar>
              <w:top w:w="100" w:type="dxa"/>
              <w:start w:w="120" w:type="dxa"/>
              <w:bottom w:w="100" w:type="dxa"/>
              <w:end w:w="120" w:type="dxa"/>
            </w:tcMar>
            <w:vAlign w:val="center"/>
            <w:shd w:fill="F5F7F8"/>
          </w:tcPr>
          <w:p>
            <w:pPr>
              <w:spacing w:after="0" w:line="240" w:lineRule="auto"/>
            </w:pPr>
            <w:r>
              <w:rPr>
                <w:sz w:val="17"/>
              </w:rPr>
              <w:t>V0.1 optional</w:t>
            </w:r>
          </w:p>
        </w:tc>
      </w:tr>
      <w:tr>
        <w:tc>
          <w:tcPr>
            <w:tcW w:type="dxa" w:w="2498"/>
            <w:tcMar>
              <w:top w:w="100" w:type="dxa"/>
              <w:start w:w="120" w:type="dxa"/>
              <w:bottom w:w="100" w:type="dxa"/>
              <w:end w:w="120" w:type="dxa"/>
            </w:tcMar>
            <w:vAlign w:val="center"/>
          </w:tcPr>
          <w:p>
            <w:pPr>
              <w:spacing w:after="0" w:line="240" w:lineRule="auto"/>
            </w:pPr>
            <w:r>
              <w:rPr>
                <w:sz w:val="17"/>
              </w:rPr>
              <w:t>OpenAI-compatible LLM search client</w:t>
            </w:r>
          </w:p>
        </w:tc>
        <w:tc>
          <w:tcPr>
            <w:tcW w:type="dxa" w:w="2498"/>
            <w:tcMar>
              <w:top w:w="100" w:type="dxa"/>
              <w:start w:w="120" w:type="dxa"/>
              <w:bottom w:w="100" w:type="dxa"/>
              <w:end w:w="120" w:type="dxa"/>
            </w:tcMar>
            <w:vAlign w:val="center"/>
          </w:tcPr>
          <w:p>
            <w:pPr>
              <w:spacing w:after="0" w:line="240" w:lineRule="auto"/>
            </w:pPr>
            <w:r>
              <w:rPr>
                <w:sz w:val="17"/>
              </w:rPr>
              <w:t>provider integration</w:t>
            </w:r>
          </w:p>
        </w:tc>
        <w:tc>
          <w:tcPr>
            <w:tcW w:type="dxa" w:w="2498"/>
            <w:tcMar>
              <w:top w:w="100" w:type="dxa"/>
              <w:start w:w="120" w:type="dxa"/>
              <w:bottom w:w="100" w:type="dxa"/>
              <w:end w:w="120" w:type="dxa"/>
            </w:tcMar>
            <w:vAlign w:val="center"/>
          </w:tcPr>
          <w:p>
            <w:pPr>
              <w:spacing w:after="0" w:line="240" w:lineRule="auto"/>
            </w:pPr>
            <w:r>
              <w:rPr>
                <w:sz w:val="17"/>
              </w:rPr>
              <w:t>Returns validated structured suggestions and usage</w:t>
            </w:r>
          </w:p>
        </w:tc>
        <w:tc>
          <w:tcPr>
            <w:tcW w:type="dxa" w:w="2498"/>
            <w:tcMar>
              <w:top w:w="100" w:type="dxa"/>
              <w:start w:w="120" w:type="dxa"/>
              <w:bottom w:w="100" w:type="dxa"/>
              <w:end w:w="120" w:type="dxa"/>
            </w:tcMar>
            <w:vAlign w:val="center"/>
          </w:tcPr>
          <w:p>
            <w:pPr>
              <w:spacing w:after="0" w:line="240" w:lineRule="auto"/>
            </w:pPr>
            <w:r>
              <w:rPr>
                <w:sz w:val="17"/>
              </w:rPr>
              <w:t>V0.1</w:t>
            </w:r>
          </w:p>
        </w:tc>
      </w:tr>
      <w:tr>
        <w:tc>
          <w:tcPr>
            <w:tcW w:type="dxa" w:w="2498"/>
            <w:tcMar>
              <w:top w:w="100" w:type="dxa"/>
              <w:start w:w="120" w:type="dxa"/>
              <w:bottom w:w="100" w:type="dxa"/>
              <w:end w:w="120" w:type="dxa"/>
            </w:tcMar>
            <w:vAlign w:val="center"/>
            <w:shd w:fill="F5F7F8"/>
          </w:tcPr>
          <w:p>
            <w:pPr>
              <w:spacing w:after="0" w:line="240" w:lineRule="auto"/>
            </w:pPr>
            <w:r>
              <w:rPr>
                <w:sz w:val="17"/>
              </w:rPr>
              <w:t>LangChain adapter</w:t>
            </w:r>
          </w:p>
        </w:tc>
        <w:tc>
          <w:tcPr>
            <w:tcW w:type="dxa" w:w="2498"/>
            <w:tcMar>
              <w:top w:w="100" w:type="dxa"/>
              <w:start w:w="120" w:type="dxa"/>
              <w:bottom w:w="100" w:type="dxa"/>
              <w:end w:w="120" w:type="dxa"/>
            </w:tcMar>
            <w:vAlign w:val="center"/>
            <w:shd w:fill="F5F7F8"/>
          </w:tcPr>
          <w:p>
            <w:pPr>
              <w:spacing w:after="0" w:line="240" w:lineRule="auto"/>
            </w:pPr>
            <w:r>
              <w:rPr>
                <w:sz w:val="17"/>
              </w:rPr>
              <w:t>examples or integration extra</w:t>
            </w:r>
          </w:p>
        </w:tc>
        <w:tc>
          <w:tcPr>
            <w:tcW w:type="dxa" w:w="2498"/>
            <w:tcMar>
              <w:top w:w="100" w:type="dxa"/>
              <w:start w:w="120" w:type="dxa"/>
              <w:bottom w:w="100" w:type="dxa"/>
              <w:end w:w="120" w:type="dxa"/>
            </w:tcMar>
            <w:vAlign w:val="center"/>
            <w:shd w:fill="F5F7F8"/>
          </w:tcPr>
          <w:p>
            <w:pPr>
              <w:spacing w:after="0" w:line="240" w:lineRule="auto"/>
            </w:pPr>
            <w:r>
              <w:rPr>
                <w:sz w:val="17"/>
              </w:rPr>
              <w:t>Wraps runnable or retriever chain</w:t>
            </w:r>
          </w:p>
        </w:tc>
        <w:tc>
          <w:tcPr>
            <w:tcW w:type="dxa" w:w="2498"/>
            <w:tcMar>
              <w:top w:w="100" w:type="dxa"/>
              <w:start w:w="120" w:type="dxa"/>
              <w:bottom w:w="100" w:type="dxa"/>
              <w:end w:w="120" w:type="dxa"/>
            </w:tcMar>
            <w:vAlign w:val="center"/>
            <w:shd w:fill="F5F7F8"/>
          </w:tcPr>
          <w:p>
            <w:pPr>
              <w:spacing w:after="0" w:line="240" w:lineRule="auto"/>
            </w:pPr>
            <w:r>
              <w:rPr>
                <w:sz w:val="17"/>
              </w:rPr>
              <w:t>Later</w:t>
            </w:r>
          </w:p>
        </w:tc>
      </w:tr>
      <w:tr>
        <w:tc>
          <w:tcPr>
            <w:tcW w:type="dxa" w:w="2498"/>
            <w:tcMar>
              <w:top w:w="100" w:type="dxa"/>
              <w:start w:w="120" w:type="dxa"/>
              <w:bottom w:w="100" w:type="dxa"/>
              <w:end w:w="120" w:type="dxa"/>
            </w:tcMar>
            <w:vAlign w:val="center"/>
          </w:tcPr>
          <w:p>
            <w:pPr>
              <w:spacing w:after="0" w:line="240" w:lineRule="auto"/>
            </w:pPr>
            <w:r>
              <w:rPr>
                <w:sz w:val="17"/>
              </w:rPr>
              <w:t>LlamaIndex adapter</w:t>
            </w:r>
          </w:p>
        </w:tc>
        <w:tc>
          <w:tcPr>
            <w:tcW w:type="dxa" w:w="2498"/>
            <w:tcMar>
              <w:top w:w="100" w:type="dxa"/>
              <w:start w:w="120" w:type="dxa"/>
              <w:bottom w:w="100" w:type="dxa"/>
              <w:end w:w="120" w:type="dxa"/>
            </w:tcMar>
            <w:vAlign w:val="center"/>
          </w:tcPr>
          <w:p>
            <w:pPr>
              <w:spacing w:after="0" w:line="240" w:lineRule="auto"/>
            </w:pPr>
            <w:r>
              <w:rPr>
                <w:sz w:val="17"/>
              </w:rPr>
              <w:t>examples or integration extra</w:t>
            </w:r>
          </w:p>
        </w:tc>
        <w:tc>
          <w:tcPr>
            <w:tcW w:type="dxa" w:w="2498"/>
            <w:tcMar>
              <w:top w:w="100" w:type="dxa"/>
              <w:start w:w="120" w:type="dxa"/>
              <w:bottom w:w="100" w:type="dxa"/>
              <w:end w:w="120" w:type="dxa"/>
            </w:tcMar>
            <w:vAlign w:val="center"/>
          </w:tcPr>
          <w:p>
            <w:pPr>
              <w:spacing w:after="0" w:line="240" w:lineRule="auto"/>
            </w:pPr>
            <w:r>
              <w:rPr>
                <w:sz w:val="17"/>
              </w:rPr>
              <w:t>Wraps query engine and nodes</w:t>
            </w:r>
          </w:p>
        </w:tc>
        <w:tc>
          <w:tcPr>
            <w:tcW w:type="dxa" w:w="2498"/>
            <w:tcMar>
              <w:top w:w="100" w:type="dxa"/>
              <w:start w:w="120" w:type="dxa"/>
              <w:bottom w:w="100" w:type="dxa"/>
              <w:end w:w="120" w:type="dxa"/>
            </w:tcMar>
            <w:vAlign w:val="center"/>
          </w:tcPr>
          <w:p>
            <w:pPr>
              <w:spacing w:after="0" w:line="240" w:lineRule="auto"/>
            </w:pPr>
            <w:r>
              <w:rPr>
                <w:sz w:val="17"/>
              </w:rPr>
              <w:t>Later</w:t>
            </w:r>
          </w:p>
        </w:tc>
      </w:tr>
      <w:tr>
        <w:tc>
          <w:tcPr>
            <w:tcW w:type="dxa" w:w="2498"/>
            <w:tcMar>
              <w:top w:w="100" w:type="dxa"/>
              <w:start w:w="120" w:type="dxa"/>
              <w:bottom w:w="100" w:type="dxa"/>
              <w:end w:w="120" w:type="dxa"/>
            </w:tcMar>
            <w:vAlign w:val="center"/>
            <w:shd w:fill="F5F7F8"/>
          </w:tcPr>
          <w:p>
            <w:pPr>
              <w:spacing w:after="0" w:line="240" w:lineRule="auto"/>
            </w:pPr>
            <w:r>
              <w:rPr>
                <w:sz w:val="17"/>
              </w:rPr>
              <w:t>Postgres store</w:t>
            </w:r>
          </w:p>
        </w:tc>
        <w:tc>
          <w:tcPr>
            <w:tcW w:type="dxa" w:w="2498"/>
            <w:tcMar>
              <w:top w:w="100" w:type="dxa"/>
              <w:start w:w="120" w:type="dxa"/>
              <w:bottom w:w="100" w:type="dxa"/>
              <w:end w:w="120" w:type="dxa"/>
            </w:tcMar>
            <w:vAlign w:val="center"/>
            <w:shd w:fill="F5F7F8"/>
          </w:tcPr>
          <w:p>
            <w:pPr>
              <w:spacing w:after="0" w:line="240" w:lineRule="auto"/>
            </w:pPr>
            <w:r>
              <w:rPr>
                <w:sz w:val="17"/>
              </w:rPr>
              <w:t>persistence integration</w:t>
            </w:r>
          </w:p>
        </w:tc>
        <w:tc>
          <w:tcPr>
            <w:tcW w:type="dxa" w:w="2498"/>
            <w:tcMar>
              <w:top w:w="100" w:type="dxa"/>
              <w:start w:w="120" w:type="dxa"/>
              <w:bottom w:w="100" w:type="dxa"/>
              <w:end w:w="120" w:type="dxa"/>
            </w:tcMar>
            <w:vAlign w:val="center"/>
            <w:shd w:fill="F5F7F8"/>
          </w:tcPr>
          <w:p>
            <w:pPr>
              <w:spacing w:after="0" w:line="240" w:lineRule="auto"/>
            </w:pPr>
            <w:r>
              <w:rPr>
                <w:sz w:val="17"/>
              </w:rPr>
              <w:t>Implements same store contract</w:t>
            </w:r>
          </w:p>
        </w:tc>
        <w:tc>
          <w:tcPr>
            <w:tcW w:type="dxa" w:w="2498"/>
            <w:tcMar>
              <w:top w:w="100" w:type="dxa"/>
              <w:start w:w="120" w:type="dxa"/>
              <w:bottom w:w="100" w:type="dxa"/>
              <w:end w:w="120" w:type="dxa"/>
            </w:tcMar>
            <w:vAlign w:val="center"/>
            <w:shd w:fill="F5F7F8"/>
          </w:tcPr>
          <w:p>
            <w:pPr>
              <w:spacing w:after="0" w:line="240" w:lineRule="auto"/>
            </w:pPr>
            <w:r>
              <w:rPr>
                <w:sz w:val="17"/>
              </w:rPr>
              <w:t>Later</w:t>
            </w:r>
          </w:p>
        </w:tc>
      </w:tr>
    </w:tbl>
    <w:p>
      <w:pPr>
        <w:spacing w:after="20"/>
      </w:pPr>
    </w:p>
    <w:p>
      <w:pPr>
        <w:pStyle w:val="Heading1"/>
      </w:pPr>
      <w:r>
        <w:t>Dependency rules</w:t>
      </w:r>
    </w:p>
    <w:p>
      <w:pPr>
        <w:spacing w:before="80" w:after="140" w:line="240" w:lineRule="auto"/>
        <w:ind w:left="360" w:right="216"/>
      </w:pPr>
      <w:r>
        <w:rPr>
          <w:rFonts w:ascii="Cascadia Mono" w:hAnsi="Cascadia Mono"/>
          <w:sz w:val="17"/>
        </w:rPr>
        <w:t>CLI ------------------------------&gt; Public API</w:t>
        <w:br/>
      </w:r>
      <w:r>
        <w:rPr>
          <w:rFonts w:ascii="Cascadia Mono" w:hAnsi="Cascadia Mono"/>
          <w:sz w:val="17"/>
        </w:rPr>
        <w:t>Integrations --&gt; Ports and domain models</w:t>
        <w:br/>
      </w:r>
      <w:r>
        <w:rPr>
          <w:rFonts w:ascii="Cascadia Mono" w:hAnsi="Cascadia Mono"/>
          <w:sz w:val="17"/>
        </w:rPr>
        <w:t>Persistence --&gt; Store port and domain models</w:t>
        <w:br/>
      </w:r>
      <w:r>
        <w:rPr>
          <w:rFonts w:ascii="Cascadia Mono" w:hAnsi="Cascadia Mono"/>
          <w:sz w:val="17"/>
        </w:rPr>
        <w:t>Core orchestration --&gt; Ports, policies, domain models</w:t>
        <w:br/>
      </w:r>
      <w:r>
        <w:rPr>
          <w:rFonts w:ascii="Cascadia Mono" w:hAnsi="Cascadia Mono"/>
          <w:sz w:val="17"/>
        </w:rPr>
        <w:t>Domain models --&gt; Standard library and validation primitives</w:t>
      </w:r>
    </w:p>
    <w:p>
      <w:r>
        <w:t>Dependencies point inward. Core code cannot import integration implementations. The CLI must construct components through public factories or direct public constructors. Database migrations may know physical schema but must not import CLI or strategy logic.</w:t>
      </w:r>
    </w:p>
    <w:p>
      <w:pPr>
        <w:pStyle w:val="Heading1"/>
      </w:pPr>
      <w:r>
        <w:t>Runtime collaborations</w:t>
      </w:r>
    </w:p>
    <w:p>
      <w:pPr>
        <w:pStyle w:val="Heading2"/>
      </w:pPr>
      <w:r>
        <w:t>New study sequence</w:t>
      </w:r>
    </w:p>
    <w:p>
      <w:pPr>
        <w:spacing w:after="50" w:line="269" w:lineRule="auto"/>
        <w:ind w:left="115"/>
      </w:pPr>
      <w:r>
        <w:t xml:space="preserve">1. </w:t>
      </w:r>
      <w:r>
        <w:t>The facade validates package configuration, dataset, search space, objective, and component capabilities.</w:t>
      </w:r>
      <w:r>
        <w:br/>
      </w:r>
      <w:r>
        <w:t xml:space="preserve">2. </w:t>
      </w:r>
      <w:r>
        <w:t xml:space="preserve">The store creates the study, records fingerprints, and appends </w:t>
      </w:r>
      <w:r>
        <w:rPr>
          <w:rFonts w:ascii="Cascadia Mono" w:hAnsi="Cascadia Mono"/>
          <w:sz w:val="18"/>
        </w:rPr>
        <w:t>StudyStarted</w:t>
      </w:r>
      <w:r>
        <w:t xml:space="preserve"> in one transaction.</w:t>
      </w:r>
      <w:r>
        <w:br/>
      </w:r>
      <w:r>
        <w:t xml:space="preserve">3. </w:t>
      </w:r>
      <w:r>
        <w:t>The controller initializes the strategy from an empty history.</w:t>
      </w:r>
      <w:r>
        <w:br/>
      </w:r>
      <w:r>
        <w:t xml:space="preserve">4. </w:t>
      </w:r>
      <w:r>
        <w:t>The scheduler requests candidates, validates them, and reserves unique trials.</w:t>
      </w:r>
      <w:r>
        <w:br/>
      </w:r>
      <w:r>
        <w:t xml:space="preserve">5. </w:t>
      </w:r>
      <w:r>
        <w:t>Trial runners execute candidates concurrently within capacity.</w:t>
      </w:r>
      <w:r>
        <w:br/>
      </w:r>
      <w:r>
        <w:t xml:space="preserve">6. </w:t>
      </w:r>
      <w:r>
        <w:t>Each runner commits a terminal observation before the strategy receives it.</w:t>
      </w:r>
      <w:r>
        <w:br/>
      </w:r>
      <w:r>
        <w:t xml:space="preserve">7. </w:t>
      </w:r>
      <w:r>
        <w:t>The controller evaluates stop conditions and schedules more work or stops.</w:t>
      </w:r>
      <w:r>
        <w:br/>
      </w:r>
      <w:r>
        <w:t xml:space="preserve">8. </w:t>
      </w:r>
      <w:r>
        <w:t xml:space="preserve">The result builder reads the final durable snapshot and constructs </w:t>
      </w:r>
      <w:r>
        <w:rPr>
          <w:rFonts w:ascii="Cascadia Mono" w:hAnsi="Cascadia Mono"/>
          <w:sz w:val="18"/>
        </w:rPr>
        <w:t>OptimizationResult</w:t>
      </w:r>
      <w:r>
        <w:t>.</w:t>
      </w:r>
    </w:p>
    <w:p>
      <w:pPr>
        <w:pStyle w:val="Heading2"/>
      </w:pPr>
      <w:r>
        <w:t>Resume sequence</w:t>
      </w:r>
    </w:p>
    <w:p>
      <w:pPr>
        <w:spacing w:after="50" w:line="269" w:lineRule="auto"/>
        <w:ind w:left="115"/>
      </w:pPr>
      <w:r>
        <w:t xml:space="preserve">1. </w:t>
      </w:r>
      <w:r>
        <w:t>Resolve the requested incomplete study.</w:t>
      </w:r>
      <w:r>
        <w:br/>
      </w:r>
      <w:r>
        <w:t xml:space="preserve">2. </w:t>
      </w:r>
      <w:r>
        <w:t>Compare dataset, search-space, objective, adapter, evaluator, and package-schema fingerprints.</w:t>
      </w:r>
      <w:r>
        <w:br/>
      </w:r>
      <w:r>
        <w:t xml:space="preserve">3. </w:t>
      </w:r>
      <w:r>
        <w:t>Recover stale running attempts according to lease policy.</w:t>
      </w:r>
      <w:r>
        <w:br/>
      </w:r>
      <w:r>
        <w:t xml:space="preserve">4. </w:t>
      </w:r>
      <w:r>
        <w:t>Rebuild the strategy by replaying committed terminal observations in sequence order.</w:t>
      </w:r>
      <w:r>
        <w:br/>
      </w:r>
      <w:r>
        <w:t xml:space="preserve">5. </w:t>
      </w:r>
      <w:r>
        <w:t>Reapply budgets from persisted exact and estimated usage.</w:t>
      </w:r>
      <w:r>
        <w:br/>
      </w:r>
      <w:r>
        <w:t xml:space="preserve">6. </w:t>
      </w:r>
      <w:r>
        <w:t>Resume scheduling without reusing duplicate candidate hashes.</w:t>
      </w:r>
    </w:p>
    <w:p>
      <w:pPr>
        <w:pStyle w:val="Heading1"/>
      </w:pPr>
      <w:r>
        <w:t>Ownership of important invariants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Invariant</w:t>
            </w:r>
          </w:p>
        </w:tc>
        <w:tc>
          <w:tcPr>
            <w:tcW w:type="dxa" w:w="3331"/>
            <w:shd w:fill="17324D"/>
            <w:tcMar>
              <w:top w:w="115" w:type="dxa"/>
              <w:start w:w="120" w:type="dxa"/>
              <w:bottom w:w="115" w:type="dxa"/>
              <w:end w:w="120" w:type="dxa"/>
            </w:tcMar>
            <w:vAlign w:val="center"/>
          </w:tcPr>
          <w:p>
            <w:r>
              <w:rPr>
                <w:b/>
                <w:color w:val="FFFFFF"/>
                <w:sz w:val="18"/>
              </w:rPr>
              <w:t>Owning component</w:t>
            </w:r>
          </w:p>
        </w:tc>
        <w:tc>
          <w:tcPr>
            <w:tcW w:type="dxa" w:w="3331"/>
            <w:shd w:fill="17324D"/>
            <w:tcMar>
              <w:top w:w="115" w:type="dxa"/>
              <w:start w:w="120" w:type="dxa"/>
              <w:bottom w:w="115" w:type="dxa"/>
              <w:end w:w="120" w:type="dxa"/>
            </w:tcMar>
            <w:vAlign w:val="center"/>
          </w:tcPr>
          <w:p>
            <w:r>
              <w:rPr>
                <w:b/>
                <w:color w:val="FFFFFF"/>
                <w:sz w:val="18"/>
              </w:rPr>
              <w:t>Enforcement point</w:t>
            </w:r>
          </w:p>
        </w:tc>
      </w:tr>
      <w:tr>
        <w:tc>
          <w:tcPr>
            <w:tcW w:type="dxa" w:w="3331"/>
            <w:tcMar>
              <w:top w:w="100" w:type="dxa"/>
              <w:start w:w="120" w:type="dxa"/>
              <w:bottom w:w="100" w:type="dxa"/>
              <w:end w:w="120" w:type="dxa"/>
            </w:tcMar>
            <w:vAlign w:val="center"/>
          </w:tcPr>
          <w:p>
            <w:pPr>
              <w:spacing w:after="0" w:line="240" w:lineRule="auto"/>
            </w:pPr>
            <w:r>
              <w:rPr>
                <w:sz w:val="17"/>
              </w:rPr>
              <w:t>Candidate belongs to search space</w:t>
            </w:r>
          </w:p>
        </w:tc>
        <w:tc>
          <w:tcPr>
            <w:tcW w:type="dxa" w:w="3331"/>
            <w:tcMar>
              <w:top w:w="100" w:type="dxa"/>
              <w:start w:w="120" w:type="dxa"/>
              <w:bottom w:w="100" w:type="dxa"/>
              <w:end w:w="120" w:type="dxa"/>
            </w:tcMar>
            <w:vAlign w:val="center"/>
          </w:tcPr>
          <w:p>
            <w:pPr>
              <w:spacing w:after="0" w:line="240" w:lineRule="auto"/>
            </w:pPr>
            <w:r>
              <w:rPr>
                <w:sz w:val="17"/>
              </w:rPr>
              <w:t>SearchSpace</w:t>
            </w:r>
          </w:p>
        </w:tc>
        <w:tc>
          <w:tcPr>
            <w:tcW w:type="dxa" w:w="3331"/>
            <w:tcMar>
              <w:top w:w="100" w:type="dxa"/>
              <w:start w:w="120" w:type="dxa"/>
              <w:bottom w:w="100" w:type="dxa"/>
              <w:end w:w="120" w:type="dxa"/>
            </w:tcMar>
            <w:vAlign w:val="center"/>
          </w:tcPr>
          <w:p>
            <w:pPr>
              <w:spacing w:after="0" w:line="240" w:lineRule="auto"/>
            </w:pPr>
            <w:r>
              <w:rPr>
                <w:sz w:val="17"/>
              </w:rPr>
              <w:t>Before trial reservation</w:t>
            </w:r>
          </w:p>
        </w:tc>
      </w:tr>
      <w:tr>
        <w:tc>
          <w:tcPr>
            <w:tcW w:type="dxa" w:w="3331"/>
            <w:tcMar>
              <w:top w:w="100" w:type="dxa"/>
              <w:start w:w="120" w:type="dxa"/>
              <w:bottom w:w="100" w:type="dxa"/>
              <w:end w:w="120" w:type="dxa"/>
            </w:tcMar>
            <w:vAlign w:val="center"/>
            <w:shd w:fill="F5F7F8"/>
          </w:tcPr>
          <w:p>
            <w:pPr>
              <w:spacing w:after="0" w:line="240" w:lineRule="auto"/>
            </w:pPr>
            <w:r>
              <w:rPr>
                <w:sz w:val="17"/>
              </w:rPr>
              <w:t>Candidate not repeated in a study</w:t>
            </w:r>
          </w:p>
        </w:tc>
        <w:tc>
          <w:tcPr>
            <w:tcW w:type="dxa" w:w="3331"/>
            <w:tcMar>
              <w:top w:w="100" w:type="dxa"/>
              <w:start w:w="120" w:type="dxa"/>
              <w:bottom w:w="100" w:type="dxa"/>
              <w:end w:w="120" w:type="dxa"/>
            </w:tcMar>
            <w:vAlign w:val="center"/>
            <w:shd w:fill="F5F7F8"/>
          </w:tcPr>
          <w:p>
            <w:pPr>
              <w:spacing w:after="0" w:line="240" w:lineRule="auto"/>
            </w:pPr>
            <w:r>
              <w:rPr>
                <w:sz w:val="17"/>
              </w:rPr>
              <w:t>Store plus scheduler</w:t>
            </w:r>
          </w:p>
        </w:tc>
        <w:tc>
          <w:tcPr>
            <w:tcW w:type="dxa" w:w="3331"/>
            <w:tcMar>
              <w:top w:w="100" w:type="dxa"/>
              <w:start w:w="120" w:type="dxa"/>
              <w:bottom w:w="100" w:type="dxa"/>
              <w:end w:w="120" w:type="dxa"/>
            </w:tcMar>
            <w:vAlign w:val="center"/>
            <w:shd w:fill="F5F7F8"/>
          </w:tcPr>
          <w:p>
            <w:pPr>
              <w:spacing w:after="0" w:line="240" w:lineRule="auto"/>
            </w:pPr>
            <w:r>
              <w:rPr>
                <w:sz w:val="17"/>
              </w:rPr>
              <w:t>Unique database constraint and rejection loop</w:t>
            </w:r>
          </w:p>
        </w:tc>
      </w:tr>
      <w:tr>
        <w:tc>
          <w:tcPr>
            <w:tcW w:type="dxa" w:w="3331"/>
            <w:tcMar>
              <w:top w:w="100" w:type="dxa"/>
              <w:start w:w="120" w:type="dxa"/>
              <w:bottom w:w="100" w:type="dxa"/>
              <w:end w:w="120" w:type="dxa"/>
            </w:tcMar>
            <w:vAlign w:val="center"/>
          </w:tcPr>
          <w:p>
            <w:pPr>
              <w:spacing w:after="0" w:line="240" w:lineRule="auto"/>
            </w:pPr>
            <w:r>
              <w:rPr>
                <w:sz w:val="17"/>
              </w:rPr>
              <w:t>Terminal trial is immutable</w:t>
            </w:r>
          </w:p>
        </w:tc>
        <w:tc>
          <w:tcPr>
            <w:tcW w:type="dxa" w:w="3331"/>
            <w:tcMar>
              <w:top w:w="100" w:type="dxa"/>
              <w:start w:w="120" w:type="dxa"/>
              <w:bottom w:w="100" w:type="dxa"/>
              <w:end w:w="120" w:type="dxa"/>
            </w:tcMar>
            <w:vAlign w:val="center"/>
          </w:tcPr>
          <w:p>
            <w:pPr>
              <w:spacing w:after="0" w:line="240" w:lineRule="auto"/>
            </w:pPr>
            <w:r>
              <w:rPr>
                <w:sz w:val="17"/>
              </w:rPr>
              <w:t>Store</w:t>
            </w:r>
          </w:p>
        </w:tc>
        <w:tc>
          <w:tcPr>
            <w:tcW w:type="dxa" w:w="3331"/>
            <w:tcMar>
              <w:top w:w="100" w:type="dxa"/>
              <w:start w:w="120" w:type="dxa"/>
              <w:bottom w:w="100" w:type="dxa"/>
              <w:end w:w="120" w:type="dxa"/>
            </w:tcMar>
            <w:vAlign w:val="center"/>
          </w:tcPr>
          <w:p>
            <w:pPr>
              <w:spacing w:after="0" w:line="240" w:lineRule="auto"/>
            </w:pPr>
            <w:r>
              <w:rPr>
                <w:sz w:val="17"/>
              </w:rPr>
              <w:t>Transactional state transition</w:t>
            </w:r>
          </w:p>
        </w:tc>
      </w:tr>
      <w:tr>
        <w:tc>
          <w:tcPr>
            <w:tcW w:type="dxa" w:w="3331"/>
            <w:tcMar>
              <w:top w:w="100" w:type="dxa"/>
              <w:start w:w="120" w:type="dxa"/>
              <w:bottom w:w="100" w:type="dxa"/>
              <w:end w:w="120" w:type="dxa"/>
            </w:tcMar>
            <w:vAlign w:val="center"/>
            <w:shd w:fill="F5F7F8"/>
          </w:tcPr>
          <w:p>
            <w:pPr>
              <w:spacing w:after="0" w:line="240" w:lineRule="auto"/>
            </w:pPr>
            <w:r>
              <w:rPr>
                <w:sz w:val="17"/>
              </w:rPr>
              <w:t>Strategy observes only committed outcomes</w:t>
            </w:r>
          </w:p>
        </w:tc>
        <w:tc>
          <w:tcPr>
            <w:tcW w:type="dxa" w:w="3331"/>
            <w:tcMar>
              <w:top w:w="100" w:type="dxa"/>
              <w:start w:w="120" w:type="dxa"/>
              <w:bottom w:w="100" w:type="dxa"/>
              <w:end w:w="120" w:type="dxa"/>
            </w:tcMar>
            <w:vAlign w:val="center"/>
            <w:shd w:fill="F5F7F8"/>
          </w:tcPr>
          <w:p>
            <w:pPr>
              <w:spacing w:after="0" w:line="240" w:lineRule="auto"/>
            </w:pPr>
            <w:r>
              <w:rPr>
                <w:sz w:val="17"/>
              </w:rPr>
              <w:t>Study controller</w:t>
            </w:r>
          </w:p>
        </w:tc>
        <w:tc>
          <w:tcPr>
            <w:tcW w:type="dxa" w:w="3331"/>
            <w:tcMar>
              <w:top w:w="100" w:type="dxa"/>
              <w:start w:w="120" w:type="dxa"/>
              <w:bottom w:w="100" w:type="dxa"/>
              <w:end w:w="120" w:type="dxa"/>
            </w:tcMar>
            <w:vAlign w:val="center"/>
            <w:shd w:fill="F5F7F8"/>
          </w:tcPr>
          <w:p>
            <w:pPr>
              <w:spacing w:after="0" w:line="240" w:lineRule="auto"/>
            </w:pPr>
            <w:r>
              <w:rPr>
                <w:sz w:val="17"/>
              </w:rPr>
              <w:t>After commit acknowledgment</w:t>
            </w:r>
          </w:p>
        </w:tc>
      </w:tr>
      <w:tr>
        <w:tc>
          <w:tcPr>
            <w:tcW w:type="dxa" w:w="3331"/>
            <w:tcMar>
              <w:top w:w="100" w:type="dxa"/>
              <w:start w:w="120" w:type="dxa"/>
              <w:bottom w:w="100" w:type="dxa"/>
              <w:end w:w="120" w:type="dxa"/>
            </w:tcMar>
            <w:vAlign w:val="center"/>
          </w:tcPr>
          <w:p>
            <w:pPr>
              <w:spacing w:after="0" w:line="240" w:lineRule="auto"/>
            </w:pPr>
            <w:r>
              <w:rPr>
                <w:sz w:val="17"/>
              </w:rPr>
              <w:t>Cache entry matches semantic inputs</w:t>
            </w:r>
          </w:p>
        </w:tc>
        <w:tc>
          <w:tcPr>
            <w:tcW w:type="dxa" w:w="3331"/>
            <w:tcMar>
              <w:top w:w="100" w:type="dxa"/>
              <w:start w:w="120" w:type="dxa"/>
              <w:bottom w:w="100" w:type="dxa"/>
              <w:end w:w="120" w:type="dxa"/>
            </w:tcMar>
            <w:vAlign w:val="center"/>
          </w:tcPr>
          <w:p>
            <w:pPr>
              <w:spacing w:after="0" w:line="240" w:lineRule="auto"/>
            </w:pPr>
            <w:r>
              <w:rPr>
                <w:sz w:val="17"/>
              </w:rPr>
              <w:t>Cache key builder</w:t>
            </w:r>
          </w:p>
        </w:tc>
        <w:tc>
          <w:tcPr>
            <w:tcW w:type="dxa" w:w="3331"/>
            <w:tcMar>
              <w:top w:w="100" w:type="dxa"/>
              <w:start w:w="120" w:type="dxa"/>
              <w:bottom w:w="100" w:type="dxa"/>
              <w:end w:w="120" w:type="dxa"/>
            </w:tcMar>
            <w:vAlign w:val="center"/>
          </w:tcPr>
          <w:p>
            <w:pPr>
              <w:spacing w:after="0" w:line="240" w:lineRule="auto"/>
            </w:pPr>
            <w:r>
              <w:rPr>
                <w:sz w:val="17"/>
              </w:rPr>
              <w:t>Before lookup and write</w:t>
            </w:r>
          </w:p>
        </w:tc>
      </w:tr>
      <w:tr>
        <w:tc>
          <w:tcPr>
            <w:tcW w:type="dxa" w:w="3331"/>
            <w:tcMar>
              <w:top w:w="100" w:type="dxa"/>
              <w:start w:w="120" w:type="dxa"/>
              <w:bottom w:w="100" w:type="dxa"/>
              <w:end w:w="120" w:type="dxa"/>
            </w:tcMar>
            <w:vAlign w:val="center"/>
            <w:shd w:fill="F5F7F8"/>
          </w:tcPr>
          <w:p>
            <w:pPr>
              <w:spacing w:after="0" w:line="240" w:lineRule="auto"/>
            </w:pPr>
            <w:r>
              <w:rPr>
                <w:sz w:val="17"/>
              </w:rPr>
              <w:t>Best trial uses declared selection split</w:t>
            </w:r>
          </w:p>
        </w:tc>
        <w:tc>
          <w:tcPr>
            <w:tcW w:type="dxa" w:w="3331"/>
            <w:tcMar>
              <w:top w:w="100" w:type="dxa"/>
              <w:start w:w="120" w:type="dxa"/>
              <w:bottom w:w="100" w:type="dxa"/>
              <w:end w:w="120" w:type="dxa"/>
            </w:tcMar>
            <w:vAlign w:val="center"/>
            <w:shd w:fill="F5F7F8"/>
          </w:tcPr>
          <w:p>
            <w:pPr>
              <w:spacing w:after="0" w:line="240" w:lineRule="auto"/>
            </w:pPr>
            <w:r>
              <w:rPr>
                <w:sz w:val="17"/>
              </w:rPr>
              <w:t>Result selector</w:t>
            </w:r>
          </w:p>
        </w:tc>
        <w:tc>
          <w:tcPr>
            <w:tcW w:type="dxa" w:w="3331"/>
            <w:tcMar>
              <w:top w:w="100" w:type="dxa"/>
              <w:start w:w="120" w:type="dxa"/>
              <w:bottom w:w="100" w:type="dxa"/>
              <w:end w:w="120" w:type="dxa"/>
            </w:tcMar>
            <w:vAlign w:val="center"/>
            <w:shd w:fill="F5F7F8"/>
          </w:tcPr>
          <w:p>
            <w:pPr>
              <w:spacing w:after="0" w:line="240" w:lineRule="auto"/>
            </w:pPr>
            <w:r>
              <w:rPr>
                <w:sz w:val="17"/>
              </w:rPr>
              <w:t>On each terminal success and final result</w:t>
            </w:r>
          </w:p>
        </w:tc>
      </w:tr>
      <w:tr>
        <w:tc>
          <w:tcPr>
            <w:tcW w:type="dxa" w:w="3331"/>
            <w:tcMar>
              <w:top w:w="100" w:type="dxa"/>
              <w:start w:w="120" w:type="dxa"/>
              <w:bottom w:w="100" w:type="dxa"/>
              <w:end w:w="120" w:type="dxa"/>
            </w:tcMar>
            <w:vAlign w:val="center"/>
          </w:tcPr>
          <w:p>
            <w:pPr>
              <w:spacing w:after="0" w:line="240" w:lineRule="auto"/>
            </w:pPr>
            <w:r>
              <w:rPr>
                <w:sz w:val="17"/>
              </w:rPr>
              <w:t>Usage estimate is labeled</w:t>
            </w:r>
          </w:p>
        </w:tc>
        <w:tc>
          <w:tcPr>
            <w:tcW w:type="dxa" w:w="3331"/>
            <w:tcMar>
              <w:top w:w="100" w:type="dxa"/>
              <w:start w:w="120" w:type="dxa"/>
              <w:bottom w:w="100" w:type="dxa"/>
              <w:end w:w="120" w:type="dxa"/>
            </w:tcMar>
            <w:vAlign w:val="center"/>
          </w:tcPr>
          <w:p>
            <w:pPr>
              <w:spacing w:after="0" w:line="240" w:lineRule="auto"/>
            </w:pPr>
            <w:r>
              <w:rPr>
                <w:sz w:val="17"/>
              </w:rPr>
              <w:t>Usage collector</w:t>
            </w:r>
          </w:p>
        </w:tc>
        <w:tc>
          <w:tcPr>
            <w:tcW w:type="dxa" w:w="3331"/>
            <w:tcMar>
              <w:top w:w="100" w:type="dxa"/>
              <w:start w:w="120" w:type="dxa"/>
              <w:bottom w:w="100" w:type="dxa"/>
              <w:end w:w="120" w:type="dxa"/>
            </w:tcMar>
            <w:vAlign w:val="center"/>
          </w:tcPr>
          <w:p>
            <w:pPr>
              <w:spacing w:after="0" w:line="240" w:lineRule="auto"/>
            </w:pPr>
            <w:r>
              <w:rPr>
                <w:sz w:val="17"/>
              </w:rPr>
              <w:t>Construction and aggregation</w:t>
            </w:r>
          </w:p>
        </w:tc>
      </w:tr>
      <w:tr>
        <w:tc>
          <w:tcPr>
            <w:tcW w:type="dxa" w:w="3331"/>
            <w:tcMar>
              <w:top w:w="100" w:type="dxa"/>
              <w:start w:w="120" w:type="dxa"/>
              <w:bottom w:w="100" w:type="dxa"/>
              <w:end w:w="120" w:type="dxa"/>
            </w:tcMar>
            <w:vAlign w:val="center"/>
            <w:shd w:fill="F5F7F8"/>
          </w:tcPr>
          <w:p>
            <w:pPr>
              <w:spacing w:after="0" w:line="240" w:lineRule="auto"/>
            </w:pPr>
            <w:r>
              <w:rPr>
                <w:sz w:val="17"/>
              </w:rPr>
              <w:t>Callback cannot corrupt durable state</w:t>
            </w:r>
          </w:p>
        </w:tc>
        <w:tc>
          <w:tcPr>
            <w:tcW w:type="dxa" w:w="3331"/>
            <w:tcMar>
              <w:top w:w="100" w:type="dxa"/>
              <w:start w:w="120" w:type="dxa"/>
              <w:bottom w:w="100" w:type="dxa"/>
              <w:end w:w="120" w:type="dxa"/>
            </w:tcMar>
            <w:vAlign w:val="center"/>
            <w:shd w:fill="F5F7F8"/>
          </w:tcPr>
          <w:p>
            <w:pPr>
              <w:spacing w:after="0" w:line="240" w:lineRule="auto"/>
            </w:pPr>
            <w:r>
              <w:rPr>
                <w:sz w:val="17"/>
              </w:rPr>
              <w:t>Event dispatcher</w:t>
            </w:r>
          </w:p>
        </w:tc>
        <w:tc>
          <w:tcPr>
            <w:tcW w:type="dxa" w:w="3331"/>
            <w:tcMar>
              <w:top w:w="100" w:type="dxa"/>
              <w:start w:w="120" w:type="dxa"/>
              <w:bottom w:w="100" w:type="dxa"/>
              <w:end w:w="120" w:type="dxa"/>
            </w:tcMar>
            <w:vAlign w:val="center"/>
            <w:shd w:fill="F5F7F8"/>
          </w:tcPr>
          <w:p>
            <w:pPr>
              <w:spacing w:after="0" w:line="240" w:lineRule="auto"/>
            </w:pPr>
            <w:r>
              <w:rPr>
                <w:sz w:val="17"/>
              </w:rPr>
              <w:t>Dispatch after commit</w:t>
            </w:r>
          </w:p>
        </w:tc>
      </w:tr>
    </w:tbl>
    <w:p>
      <w:pPr>
        <w:spacing w:after="20"/>
      </w:pPr>
    </w:p>
    <w:p>
      <w:pPr>
        <w:pStyle w:val="Heading1"/>
      </w:pPr>
      <w:r>
        <w:t>Failure boundaries</w:t>
      </w:r>
    </w:p>
    <w:p>
      <w:r>
        <w:t>Adapter, evaluator, strategy provider, callback, cache, and mirror integrations each have independent error classification. SQLite is authoritative for V0.1; inability to commit authoritative state is a systemic failure. MLflow or a noncritical callback may fail without invalidating the trial. Repeated failures can trigger a policy stop to prevent waste.</w:t>
      </w:r>
    </w:p>
    <w:p>
      <w:pPr>
        <w:pStyle w:val="Heading1"/>
      </w:pPr>
      <w:r>
        <w:t>Extension map</w:t>
      </w:r>
    </w:p>
    <w:p>
      <w:r>
        <w:t xml:space="preserve">To add a search strategy, implement </w:t>
      </w:r>
      <w:r>
        <w:rPr>
          <w:rFonts w:ascii="Cascadia Mono" w:hAnsi="Cascadia Mono"/>
          <w:sz w:val="18"/>
        </w:rPr>
        <w:t>SearchStrategy</w:t>
      </w:r>
      <w:r>
        <w:t>, provide configuration and contract tests, and register documentation. To add an evaluator, implement the evaluator protocol and declare required fields. To support a framework, prefer a thin adapter package that depends on the framework while the core remains unaware. To add a store, pass the shared store contract suite and migration guarantees.</w:t>
      </w:r>
    </w:p>
    <w:p>
      <w:pPr>
        <w:pStyle w:val="Heading1"/>
      </w:pPr>
      <w:r>
        <w:t>Explicitly excluded components</w:t>
      </w:r>
    </w:p>
    <w:p>
      <w:r>
        <w:t>V0.1 does not include a hosted control plane, web dashboard, distributed worker queue, built-in vector database, corpus management system, prompt registry, model gateway, general workflow engine, or automatic deployment of the winning configuration. These may integrate later but are outside the package core.</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Component Map</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