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pPr>
      <w:r>
        <w:t>autorag-tuner Data Extraction Specification</w:t>
      </w:r>
    </w:p>
    <w:p>
      <w:pPr>
        <w:pStyle w:val="Subtitle"/>
      </w:pPr>
      <w:r>
        <w:rPr>
          <w:rFonts w:ascii="Aptos" w:hAnsi="Aptos"/>
          <w:color w:val="4D4D4D"/>
          <w:sz w:val="30"/>
        </w:rPr>
        <w:t>autorag-tuner Python package</w:t>
      </w:r>
    </w:p>
    <w:p>
      <w:r>
        <w:t>Requirements for ingesting, normalizing, validating, splitting, hashing, caching, and protecting evaluation data.</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088"/>
            <w:tcMar>
              <w:top w:w="100" w:type="dxa"/>
              <w:start w:w="120" w:type="dxa"/>
              <w:bottom w:w="100" w:type="dxa"/>
              <w:end w:w="120" w:type="dxa"/>
            </w:tcMar>
            <w:vAlign w:val="center"/>
            <w:shd w:fill="EAF2F8"/>
          </w:tcPr>
          <w:p>
            <w:r>
              <w:rPr>
                <w:b/>
              </w:rPr>
              <w:t>Status</w:t>
            </w:r>
          </w:p>
        </w:tc>
        <w:tc>
          <w:tcPr>
            <w:tcW w:type="dxa" w:w="8136"/>
            <w:tcMar>
              <w:top w:w="100" w:type="dxa"/>
              <w:start w:w="120" w:type="dxa"/>
              <w:bottom w:w="100" w:type="dxa"/>
              <w:end w:w="120" w:type="dxa"/>
            </w:tcMar>
            <w:vAlign w:val="center"/>
          </w:tcPr>
          <w:p>
            <w:r>
              <w:t>V0.1 design baseline</w:t>
            </w:r>
          </w:p>
        </w:tc>
      </w:tr>
      <w:tr>
        <w:tc>
          <w:tcPr>
            <w:tcW w:type="dxa" w:w="2088"/>
            <w:tcMar>
              <w:top w:w="100" w:type="dxa"/>
              <w:start w:w="120" w:type="dxa"/>
              <w:bottom w:w="100" w:type="dxa"/>
              <w:end w:w="120" w:type="dxa"/>
            </w:tcMar>
            <w:vAlign w:val="center"/>
            <w:shd w:fill="EAF2F8"/>
          </w:tcPr>
          <w:p>
            <w:r>
              <w:rPr>
                <w:b/>
              </w:rPr>
              <w:t>Date</w:t>
            </w:r>
          </w:p>
        </w:tc>
        <w:tc>
          <w:tcPr>
            <w:tcW w:type="dxa" w:w="8136"/>
            <w:tcMar>
              <w:top w:w="100" w:type="dxa"/>
              <w:start w:w="120" w:type="dxa"/>
              <w:bottom w:w="100" w:type="dxa"/>
              <w:end w:w="120" w:type="dxa"/>
            </w:tcMar>
            <w:vAlign w:val="center"/>
          </w:tcPr>
          <w:p>
            <w:r>
              <w:t>September 2026</w:t>
            </w:r>
          </w:p>
        </w:tc>
      </w:tr>
      <w:tr>
        <w:tc>
          <w:tcPr>
            <w:tcW w:type="dxa" w:w="2088"/>
            <w:tcMar>
              <w:top w:w="100" w:type="dxa"/>
              <w:start w:w="120" w:type="dxa"/>
              <w:bottom w:w="100" w:type="dxa"/>
              <w:end w:w="120" w:type="dxa"/>
            </w:tcMar>
            <w:vAlign w:val="center"/>
            <w:shd w:fill="EAF2F8"/>
          </w:tcPr>
          <w:p>
            <w:r>
              <w:rPr>
                <w:b/>
              </w:rPr>
              <w:t>Primary audience</w:t>
            </w:r>
          </w:p>
        </w:tc>
        <w:tc>
          <w:tcPr>
            <w:tcW w:type="dxa" w:w="8136"/>
            <w:tcMar>
              <w:top w:w="100" w:type="dxa"/>
              <w:start w:w="120" w:type="dxa"/>
              <w:bottom w:w="100" w:type="dxa"/>
              <w:end w:w="120" w:type="dxa"/>
            </w:tcMar>
            <w:vAlign w:val="center"/>
          </w:tcPr>
          <w:p>
            <w:r>
              <w:t>Dataset authors, evaluator developers, privacy reviewers, and package maintainers</w:t>
            </w:r>
          </w:p>
        </w:tc>
      </w:tr>
    </w:tbl>
    <w:p/>
    <w:p>
      <w:r>
        <w:rPr>
          <w:b/>
        </w:rPr>
        <w:t xml:space="preserve">Package boundary </w:t>
      </w:r>
      <w:r>
        <w:t>This document specifies the target autorag-tuner package. The existing Auto-RAG-Research implementation is reference material only and belongs under examples as a reference adapter and demonstration pipeline.</w:t>
      </w:r>
    </w:p>
    <w:p>
      <w:r>
        <w:br w:type="page"/>
      </w:r>
    </w:p>
    <w:p>
      <w:pPr>
        <w:pStyle w:val="Heading1"/>
      </w:pPr>
      <w:r>
        <w:t>Purpose and scope</w:t>
      </w:r>
    </w:p>
    <w:p>
      <w:r>
        <w:t>The evaluation dataset is a versioned input to optimization, not an incidental file. autorag-tuner accepts existing query and ground-truth datasets, can optionally generate synthetic question-answer samples from source documents, and preserves provenance from source document to normalized sample and split. Deterministic identifiers and privacy-safe defaults make cache reuse and resume checks reliable.</w:t>
      </w:r>
    </w:p>
    <w:p>
      <w:pPr>
        <w:pStyle w:val="Heading2"/>
      </w:pPr>
      <w:r>
        <w:t>Current decisions</w:t>
      </w:r>
    </w:p>
    <w:p>
      <w:pPr>
        <w:pStyle w:val="ListBullet"/>
      </w:pPr>
      <w:r>
        <w:t>Python-first library with async-first internals and a synchronous convenience wrapper.</w:t>
      </w:r>
    </w:p>
    <w:p>
      <w:pPr>
        <w:pStyle w:val="ListBullet"/>
      </w:pPr>
      <w:r>
        <w:t>Users supply an existing RAG system through the RAGAdapter contract; the package does not own the application pipeline.</w:t>
      </w:r>
    </w:p>
    <w:p>
      <w:pPr>
        <w:pStyle w:val="ListBullet"/>
      </w:pPr>
      <w:r>
        <w:t>Search spaces accept arbitrary typed parameters. RandomSearch and LLMSearch ship in V0.1 behind one SearchStrategy interface.</w:t>
      </w:r>
    </w:p>
    <w:p>
      <w:pPr>
        <w:pStyle w:val="ListBullet"/>
      </w:pPr>
      <w:r>
        <w:t>Evaluation is plugin-based. RAGAS is an optional integration rather than a dependency of the core evaluation model.</w:t>
      </w:r>
    </w:p>
    <w:p>
      <w:pPr>
        <w:pStyle w:val="ListBullet"/>
      </w:pPr>
      <w:r>
        <w:t>Objectives can combine quality, cost, and latency. Usage values identify whether they are exact or estimated.</w:t>
      </w:r>
    </w:p>
    <w:p>
      <w:pPr>
        <w:pStyle w:val="ListBullet"/>
      </w:pPr>
      <w:r>
        <w:t>SQLite is the default experiment store. MLflow is optional and mirrors experiment records rather than replacing package state.</w:t>
      </w:r>
    </w:p>
    <w:p>
      <w:pPr>
        <w:pStyle w:val="ListBullet"/>
      </w:pPr>
      <w:r>
        <w:t>Trials are isolated, retryable, cacheable, resumable, and observable through callbacks and structured events.</w:t>
      </w:r>
    </w:p>
    <w:p>
      <w:pPr>
        <w:pStyle w:val="Heading2"/>
      </w:pPr>
      <w:r>
        <w:t>Related documents</w:t>
      </w:r>
    </w:p>
    <w:p>
      <w:pPr>
        <w:pStyle w:val="ListBullet"/>
      </w:pPr>
      <w:r>
        <w:t>Database Schema for persisted provenance</w:t>
      </w:r>
    </w:p>
    <w:p>
      <w:pPr>
        <w:pStyle w:val="ListBullet"/>
      </w:pPr>
      <w:r>
        <w:t>API Specification for dataset models</w:t>
      </w:r>
    </w:p>
    <w:p>
      <w:pPr>
        <w:pStyle w:val="ListBullet"/>
      </w:pPr>
      <w:r>
        <w:t>System Architecture Document for data flow</w:t>
      </w:r>
    </w:p>
    <w:p>
      <w:pPr>
        <w:pStyle w:val="ListBullet"/>
      </w:pPr>
      <w:r>
        <w:t>Environment Config Reference for provider and privacy settings</w:t>
      </w:r>
    </w:p>
    <w:p>
      <w:pPr>
        <w:pStyle w:val="Heading1"/>
      </w:pPr>
      <w:r>
        <w:t>Data boundary</w:t>
      </w:r>
    </w:p>
    <w:p>
      <w:r>
        <w:t>The package evaluates candidate RAG configurations. It may read benchmark files and source documents for optional synthetic generation, but it does not become a production document ingestion platform. Connectors for enterprise content systems, OCR pipelines, access-control synchronization, and continuous corpus indexing are explicit non-goals for V0.1.</w:t>
      </w:r>
    </w:p>
    <w:p>
      <w:pPr>
        <w:pStyle w:val="Heading1"/>
      </w:pPr>
      <w:r>
        <w:t>Canonical data model</w:t>
      </w:r>
    </w:p>
    <w:p>
      <w:pPr>
        <w:pStyle w:val="Heading2"/>
      </w:pPr>
      <w:r>
        <w:t>Evaluation sample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Field</w:t>
            </w:r>
          </w:p>
        </w:tc>
        <w:tc>
          <w:tcPr>
            <w:tcW w:type="dxa" w:w="2498"/>
            <w:shd w:fill="17324D"/>
            <w:tcMar>
              <w:top w:w="115" w:type="dxa"/>
              <w:start w:w="120" w:type="dxa"/>
              <w:bottom w:w="115" w:type="dxa"/>
              <w:end w:w="120" w:type="dxa"/>
            </w:tcMar>
            <w:vAlign w:val="center"/>
          </w:tcPr>
          <w:p>
            <w:r>
              <w:rPr>
                <w:b/>
                <w:color w:val="FFFFFF"/>
                <w:sz w:val="18"/>
              </w:rPr>
              <w:t>Type</w:t>
            </w:r>
          </w:p>
        </w:tc>
        <w:tc>
          <w:tcPr>
            <w:tcW w:type="dxa" w:w="2498"/>
            <w:shd w:fill="17324D"/>
            <w:tcMar>
              <w:top w:w="115" w:type="dxa"/>
              <w:start w:w="120" w:type="dxa"/>
              <w:bottom w:w="115" w:type="dxa"/>
              <w:end w:w="120" w:type="dxa"/>
            </w:tcMar>
            <w:vAlign w:val="center"/>
          </w:tcPr>
          <w:p>
            <w:r>
              <w:rPr>
                <w:b/>
                <w:color w:val="FFFFFF"/>
                <w:sz w:val="18"/>
              </w:rPr>
              <w:t>Required</w:t>
            </w:r>
          </w:p>
        </w:tc>
        <w:tc>
          <w:tcPr>
            <w:tcW w:type="dxa" w:w="2498"/>
            <w:shd w:fill="17324D"/>
            <w:tcMar>
              <w:top w:w="115" w:type="dxa"/>
              <w:start w:w="120" w:type="dxa"/>
              <w:bottom w:w="115" w:type="dxa"/>
              <w:end w:w="120" w:type="dxa"/>
            </w:tcMar>
            <w:vAlign w:val="center"/>
          </w:tcPr>
          <w:p>
            <w:r>
              <w:rPr>
                <w:b/>
                <w:color w:val="FFFFFF"/>
                <w:sz w:val="18"/>
              </w:rPr>
              <w:t>Normalization</w:t>
            </w:r>
          </w:p>
        </w:tc>
      </w:tr>
      <w:tr>
        <w:tc>
          <w:tcPr>
            <w:tcW w:type="dxa" w:w="2498"/>
            <w:tcMar>
              <w:top w:w="100" w:type="dxa"/>
              <w:start w:w="120" w:type="dxa"/>
              <w:bottom w:w="100" w:type="dxa"/>
              <w:end w:w="120" w:type="dxa"/>
            </w:tcMar>
            <w:vAlign w:val="center"/>
          </w:tcPr>
          <w:p>
            <w:pPr>
              <w:spacing w:after="0" w:line="240" w:lineRule="auto"/>
            </w:pPr>
            <w:r>
              <w:rPr>
                <w:sz w:val="17"/>
              </w:rPr>
              <w:t>`sample_id`</w:t>
            </w:r>
          </w:p>
        </w:tc>
        <w:tc>
          <w:tcPr>
            <w:tcW w:type="dxa" w:w="2498"/>
            <w:tcMar>
              <w:top w:w="100" w:type="dxa"/>
              <w:start w:w="120" w:type="dxa"/>
              <w:bottom w:w="100" w:type="dxa"/>
              <w:end w:w="120" w:type="dxa"/>
            </w:tcMar>
            <w:vAlign w:val="center"/>
          </w:tcPr>
          <w:p>
            <w:pPr>
              <w:spacing w:after="0" w:line="240" w:lineRule="auto"/>
            </w:pPr>
            <w:r>
              <w:rPr>
                <w:sz w:val="17"/>
              </w:rPr>
              <w:t>string</w:t>
            </w:r>
          </w:p>
        </w:tc>
        <w:tc>
          <w:tcPr>
            <w:tcW w:type="dxa" w:w="2498"/>
            <w:tcMar>
              <w:top w:w="100" w:type="dxa"/>
              <w:start w:w="120" w:type="dxa"/>
              <w:bottom w:w="100" w:type="dxa"/>
              <w:end w:w="120" w:type="dxa"/>
            </w:tcMar>
            <w:vAlign w:val="center"/>
          </w:tcPr>
          <w:p>
            <w:pPr>
              <w:spacing w:after="0" w:line="240" w:lineRule="auto"/>
            </w:pPr>
            <w:r>
              <w:rPr>
                <w:sz w:val="17"/>
              </w:rPr>
              <w:t>Generated if absent</w:t>
            </w:r>
          </w:p>
        </w:tc>
        <w:tc>
          <w:tcPr>
            <w:tcW w:type="dxa" w:w="2498"/>
            <w:tcMar>
              <w:top w:w="100" w:type="dxa"/>
              <w:start w:w="120" w:type="dxa"/>
              <w:bottom w:w="100" w:type="dxa"/>
              <w:end w:w="120" w:type="dxa"/>
            </w:tcMar>
            <w:vAlign w:val="center"/>
          </w:tcPr>
          <w:p>
            <w:pPr>
              <w:spacing w:after="0" w:line="240" w:lineRule="auto"/>
            </w:pPr>
            <w:r>
              <w:rPr>
                <w:sz w:val="17"/>
              </w:rPr>
              <w:t>Stable digest or validated user ID</w:t>
            </w:r>
          </w:p>
        </w:tc>
      </w:tr>
      <w:tr>
        <w:tc>
          <w:tcPr>
            <w:tcW w:type="dxa" w:w="2498"/>
            <w:tcMar>
              <w:top w:w="100" w:type="dxa"/>
              <w:start w:w="120" w:type="dxa"/>
              <w:bottom w:w="100" w:type="dxa"/>
              <w:end w:w="120" w:type="dxa"/>
            </w:tcMar>
            <w:vAlign w:val="center"/>
            <w:shd w:fill="F5F7F8"/>
          </w:tcPr>
          <w:p>
            <w:pPr>
              <w:spacing w:after="0" w:line="240" w:lineRule="auto"/>
            </w:pPr>
            <w:r>
              <w:rPr>
                <w:sz w:val="17"/>
              </w:rPr>
              <w:t>`query`</w:t>
            </w:r>
          </w:p>
        </w:tc>
        <w:tc>
          <w:tcPr>
            <w:tcW w:type="dxa" w:w="2498"/>
            <w:tcMar>
              <w:top w:w="100" w:type="dxa"/>
              <w:start w:w="120" w:type="dxa"/>
              <w:bottom w:w="100" w:type="dxa"/>
              <w:end w:w="120" w:type="dxa"/>
            </w:tcMar>
            <w:vAlign w:val="center"/>
            <w:shd w:fill="F5F7F8"/>
          </w:tcPr>
          <w:p>
            <w:pPr>
              <w:spacing w:after="0" w:line="240" w:lineRule="auto"/>
            </w:pPr>
            <w:r>
              <w:rPr>
                <w:sz w:val="17"/>
              </w:rPr>
              <w:t>string</w:t>
            </w:r>
          </w:p>
        </w:tc>
        <w:tc>
          <w:tcPr>
            <w:tcW w:type="dxa" w:w="2498"/>
            <w:tcMar>
              <w:top w:w="100" w:type="dxa"/>
              <w:start w:w="120" w:type="dxa"/>
              <w:bottom w:w="100" w:type="dxa"/>
              <w:end w:w="120" w:type="dxa"/>
            </w:tcMar>
            <w:vAlign w:val="center"/>
            <w:shd w:fill="F5F7F8"/>
          </w:tcPr>
          <w:p>
            <w:pPr>
              <w:spacing w:after="0" w:line="240" w:lineRule="auto"/>
            </w:pPr>
            <w:r>
              <w:rPr>
                <w:sz w:val="17"/>
              </w:rPr>
              <w:t>Yes</w:t>
            </w:r>
          </w:p>
        </w:tc>
        <w:tc>
          <w:tcPr>
            <w:tcW w:type="dxa" w:w="2498"/>
            <w:tcMar>
              <w:top w:w="100" w:type="dxa"/>
              <w:start w:w="120" w:type="dxa"/>
              <w:bottom w:w="100" w:type="dxa"/>
              <w:end w:w="120" w:type="dxa"/>
            </w:tcMar>
            <w:vAlign w:val="center"/>
            <w:shd w:fill="F5F7F8"/>
          </w:tcPr>
          <w:p>
            <w:pPr>
              <w:spacing w:after="0" w:line="240" w:lineRule="auto"/>
            </w:pPr>
            <w:r>
              <w:rPr>
                <w:sz w:val="17"/>
              </w:rPr>
              <w:t>Unicode normalization, line endings normalized, outer whitespace removed</w:t>
            </w:r>
          </w:p>
        </w:tc>
      </w:tr>
      <w:tr>
        <w:tc>
          <w:tcPr>
            <w:tcW w:type="dxa" w:w="2498"/>
            <w:tcMar>
              <w:top w:w="100" w:type="dxa"/>
              <w:start w:w="120" w:type="dxa"/>
              <w:bottom w:w="100" w:type="dxa"/>
              <w:end w:w="120" w:type="dxa"/>
            </w:tcMar>
            <w:vAlign w:val="center"/>
          </w:tcPr>
          <w:p>
            <w:pPr>
              <w:spacing w:after="0" w:line="240" w:lineRule="auto"/>
            </w:pPr>
            <w:r>
              <w:rPr>
                <w:sz w:val="17"/>
              </w:rPr>
              <w:t>`reference_answer`</w:t>
            </w:r>
          </w:p>
        </w:tc>
        <w:tc>
          <w:tcPr>
            <w:tcW w:type="dxa" w:w="2498"/>
            <w:tcMar>
              <w:top w:w="100" w:type="dxa"/>
              <w:start w:w="120" w:type="dxa"/>
              <w:bottom w:w="100" w:type="dxa"/>
              <w:end w:w="120" w:type="dxa"/>
            </w:tcMar>
            <w:vAlign w:val="center"/>
          </w:tcPr>
          <w:p>
            <w:pPr>
              <w:spacing w:after="0" w:line="240" w:lineRule="auto"/>
            </w:pPr>
            <w:r>
              <w:rPr>
                <w:sz w:val="17"/>
              </w:rPr>
              <w:t>string</w:t>
            </w:r>
          </w:p>
        </w:tc>
        <w:tc>
          <w:tcPr>
            <w:tcW w:type="dxa" w:w="2498"/>
            <w:tcMar>
              <w:top w:w="100" w:type="dxa"/>
              <w:start w:w="120" w:type="dxa"/>
              <w:bottom w:w="100" w:type="dxa"/>
              <w:end w:w="120" w:type="dxa"/>
            </w:tcMar>
            <w:vAlign w:val="center"/>
          </w:tcPr>
          <w:p>
            <w:pPr>
              <w:spacing w:after="0" w:line="240" w:lineRule="auto"/>
            </w:pPr>
            <w:r>
              <w:rPr>
                <w:sz w:val="17"/>
              </w:rPr>
              <w:t>No</w:t>
            </w:r>
          </w:p>
        </w:tc>
        <w:tc>
          <w:tcPr>
            <w:tcW w:type="dxa" w:w="2498"/>
            <w:tcMar>
              <w:top w:w="100" w:type="dxa"/>
              <w:start w:w="120" w:type="dxa"/>
              <w:bottom w:w="100" w:type="dxa"/>
              <w:end w:w="120" w:type="dxa"/>
            </w:tcMar>
            <w:vAlign w:val="center"/>
          </w:tcPr>
          <w:p>
            <w:pPr>
              <w:spacing w:after="0" w:line="240" w:lineRule="auto"/>
            </w:pPr>
            <w:r>
              <w:rPr>
                <w:sz w:val="17"/>
              </w:rPr>
              <w:t>Same text normalization; empty becomes absent</w:t>
            </w:r>
          </w:p>
        </w:tc>
      </w:tr>
      <w:tr>
        <w:tc>
          <w:tcPr>
            <w:tcW w:type="dxa" w:w="2498"/>
            <w:tcMar>
              <w:top w:w="100" w:type="dxa"/>
              <w:start w:w="120" w:type="dxa"/>
              <w:bottom w:w="100" w:type="dxa"/>
              <w:end w:w="120" w:type="dxa"/>
            </w:tcMar>
            <w:vAlign w:val="center"/>
            <w:shd w:fill="F5F7F8"/>
          </w:tcPr>
          <w:p>
            <w:pPr>
              <w:spacing w:after="0" w:line="240" w:lineRule="auto"/>
            </w:pPr>
            <w:r>
              <w:rPr>
                <w:sz w:val="17"/>
              </w:rPr>
              <w:t>`reference_contexts`</w:t>
            </w:r>
          </w:p>
        </w:tc>
        <w:tc>
          <w:tcPr>
            <w:tcW w:type="dxa" w:w="2498"/>
            <w:tcMar>
              <w:top w:w="100" w:type="dxa"/>
              <w:start w:w="120" w:type="dxa"/>
              <w:bottom w:w="100" w:type="dxa"/>
              <w:end w:w="120" w:type="dxa"/>
            </w:tcMar>
            <w:vAlign w:val="center"/>
            <w:shd w:fill="F5F7F8"/>
          </w:tcPr>
          <w:p>
            <w:pPr>
              <w:spacing w:after="0" w:line="240" w:lineRule="auto"/>
            </w:pPr>
            <w:r>
              <w:rPr>
                <w:sz w:val="17"/>
              </w:rPr>
              <w:t>list of strings</w:t>
            </w:r>
          </w:p>
        </w:tc>
        <w:tc>
          <w:tcPr>
            <w:tcW w:type="dxa" w:w="2498"/>
            <w:tcMar>
              <w:top w:w="100" w:type="dxa"/>
              <w:start w:w="120" w:type="dxa"/>
              <w:bottom w:w="100" w:type="dxa"/>
              <w:end w:w="120" w:type="dxa"/>
            </w:tcMar>
            <w:vAlign w:val="center"/>
            <w:shd w:fill="F5F7F8"/>
          </w:tcPr>
          <w:p>
            <w:pPr>
              <w:spacing w:after="0" w:line="240" w:lineRule="auto"/>
            </w:pPr>
            <w:r>
              <w:rPr>
                <w:sz w:val="17"/>
              </w:rPr>
              <w:t>No</w:t>
            </w:r>
          </w:p>
        </w:tc>
        <w:tc>
          <w:tcPr>
            <w:tcW w:type="dxa" w:w="2498"/>
            <w:tcMar>
              <w:top w:w="100" w:type="dxa"/>
              <w:start w:w="120" w:type="dxa"/>
              <w:bottom w:w="100" w:type="dxa"/>
              <w:end w:w="120" w:type="dxa"/>
            </w:tcMar>
            <w:vAlign w:val="center"/>
            <w:shd w:fill="F5F7F8"/>
          </w:tcPr>
          <w:p>
            <w:pPr>
              <w:spacing w:after="0" w:line="240" w:lineRule="auto"/>
            </w:pPr>
            <w:r>
              <w:rPr>
                <w:sz w:val="17"/>
              </w:rPr>
              <w:t>Preserve order, normalize text, remove exact duplicates</w:t>
            </w:r>
          </w:p>
        </w:tc>
      </w:tr>
      <w:tr>
        <w:tc>
          <w:tcPr>
            <w:tcW w:type="dxa" w:w="2498"/>
            <w:tcMar>
              <w:top w:w="100" w:type="dxa"/>
              <w:start w:w="120" w:type="dxa"/>
              <w:bottom w:w="100" w:type="dxa"/>
              <w:end w:w="120" w:type="dxa"/>
            </w:tcMar>
            <w:vAlign w:val="center"/>
          </w:tcPr>
          <w:p>
            <w:pPr>
              <w:spacing w:after="0" w:line="240" w:lineRule="auto"/>
            </w:pPr>
            <w:r>
              <w:rPr>
                <w:sz w:val="17"/>
              </w:rPr>
              <w:t>`relevant_document_ids`</w:t>
            </w:r>
          </w:p>
        </w:tc>
        <w:tc>
          <w:tcPr>
            <w:tcW w:type="dxa" w:w="2498"/>
            <w:tcMar>
              <w:top w:w="100" w:type="dxa"/>
              <w:start w:w="120" w:type="dxa"/>
              <w:bottom w:w="100" w:type="dxa"/>
              <w:end w:w="120" w:type="dxa"/>
            </w:tcMar>
            <w:vAlign w:val="center"/>
          </w:tcPr>
          <w:p>
            <w:pPr>
              <w:spacing w:after="0" w:line="240" w:lineRule="auto"/>
            </w:pPr>
            <w:r>
              <w:rPr>
                <w:sz w:val="17"/>
              </w:rPr>
              <w:t>list of strings</w:t>
            </w:r>
          </w:p>
        </w:tc>
        <w:tc>
          <w:tcPr>
            <w:tcW w:type="dxa" w:w="2498"/>
            <w:tcMar>
              <w:top w:w="100" w:type="dxa"/>
              <w:start w:w="120" w:type="dxa"/>
              <w:bottom w:w="100" w:type="dxa"/>
              <w:end w:w="120" w:type="dxa"/>
            </w:tcMar>
            <w:vAlign w:val="center"/>
          </w:tcPr>
          <w:p>
            <w:pPr>
              <w:spacing w:after="0" w:line="240" w:lineRule="auto"/>
            </w:pPr>
            <w:r>
              <w:rPr>
                <w:sz w:val="17"/>
              </w:rPr>
              <w:t>No</w:t>
            </w:r>
          </w:p>
        </w:tc>
        <w:tc>
          <w:tcPr>
            <w:tcW w:type="dxa" w:w="2498"/>
            <w:tcMar>
              <w:top w:w="100" w:type="dxa"/>
              <w:start w:w="120" w:type="dxa"/>
              <w:bottom w:w="100" w:type="dxa"/>
              <w:end w:w="120" w:type="dxa"/>
            </w:tcMar>
            <w:vAlign w:val="center"/>
          </w:tcPr>
          <w:p>
            <w:pPr>
              <w:spacing w:after="0" w:line="240" w:lineRule="auto"/>
            </w:pPr>
            <w:r>
              <w:rPr>
                <w:sz w:val="17"/>
              </w:rPr>
              <w:t>Deduplicate while preserving first occurrence</w:t>
            </w:r>
          </w:p>
        </w:tc>
      </w:tr>
      <w:tr>
        <w:tc>
          <w:tcPr>
            <w:tcW w:type="dxa" w:w="2498"/>
            <w:tcMar>
              <w:top w:w="100" w:type="dxa"/>
              <w:start w:w="120" w:type="dxa"/>
              <w:bottom w:w="100" w:type="dxa"/>
              <w:end w:w="120" w:type="dxa"/>
            </w:tcMar>
            <w:vAlign w:val="center"/>
            <w:shd w:fill="F5F7F8"/>
          </w:tcPr>
          <w:p>
            <w:pPr>
              <w:spacing w:after="0" w:line="240" w:lineRule="auto"/>
            </w:pPr>
            <w:r>
              <w:rPr>
                <w:sz w:val="17"/>
              </w:rPr>
              <w:t>`tags`</w:t>
            </w:r>
          </w:p>
        </w:tc>
        <w:tc>
          <w:tcPr>
            <w:tcW w:type="dxa" w:w="2498"/>
            <w:tcMar>
              <w:top w:w="100" w:type="dxa"/>
              <w:start w:w="120" w:type="dxa"/>
              <w:bottom w:w="100" w:type="dxa"/>
              <w:end w:w="120" w:type="dxa"/>
            </w:tcMar>
            <w:vAlign w:val="center"/>
            <w:shd w:fill="F5F7F8"/>
          </w:tcPr>
          <w:p>
            <w:pPr>
              <w:spacing w:after="0" w:line="240" w:lineRule="auto"/>
            </w:pPr>
            <w:r>
              <w:rPr>
                <w:sz w:val="17"/>
              </w:rPr>
              <w:t>set of strings</w:t>
            </w:r>
          </w:p>
        </w:tc>
        <w:tc>
          <w:tcPr>
            <w:tcW w:type="dxa" w:w="2498"/>
            <w:tcMar>
              <w:top w:w="100" w:type="dxa"/>
              <w:start w:w="120" w:type="dxa"/>
              <w:bottom w:w="100" w:type="dxa"/>
              <w:end w:w="120" w:type="dxa"/>
            </w:tcMar>
            <w:vAlign w:val="center"/>
            <w:shd w:fill="F5F7F8"/>
          </w:tcPr>
          <w:p>
            <w:pPr>
              <w:spacing w:after="0" w:line="240" w:lineRule="auto"/>
            </w:pPr>
            <w:r>
              <w:rPr>
                <w:sz w:val="17"/>
              </w:rPr>
              <w:t>No</w:t>
            </w:r>
          </w:p>
        </w:tc>
        <w:tc>
          <w:tcPr>
            <w:tcW w:type="dxa" w:w="2498"/>
            <w:tcMar>
              <w:top w:w="100" w:type="dxa"/>
              <w:start w:w="120" w:type="dxa"/>
              <w:bottom w:w="100" w:type="dxa"/>
              <w:end w:w="120" w:type="dxa"/>
            </w:tcMar>
            <w:vAlign w:val="center"/>
            <w:shd w:fill="F5F7F8"/>
          </w:tcPr>
          <w:p>
            <w:pPr>
              <w:spacing w:after="0" w:line="240" w:lineRule="auto"/>
            </w:pPr>
            <w:r>
              <w:rPr>
                <w:sz w:val="17"/>
              </w:rPr>
              <w:t>Trim, validate, sort for canonical serialization</w:t>
            </w:r>
          </w:p>
        </w:tc>
      </w:tr>
      <w:tr>
        <w:tc>
          <w:tcPr>
            <w:tcW w:type="dxa" w:w="2498"/>
            <w:tcMar>
              <w:top w:w="100" w:type="dxa"/>
              <w:start w:w="120" w:type="dxa"/>
              <w:bottom w:w="100" w:type="dxa"/>
              <w:end w:w="120" w:type="dxa"/>
            </w:tcMar>
            <w:vAlign w:val="center"/>
          </w:tcPr>
          <w:p>
            <w:pPr>
              <w:spacing w:after="0" w:line="240" w:lineRule="auto"/>
            </w:pPr>
            <w:r>
              <w:rPr>
                <w:sz w:val="17"/>
              </w:rPr>
              <w:t>`metadata`</w:t>
            </w:r>
          </w:p>
        </w:tc>
        <w:tc>
          <w:tcPr>
            <w:tcW w:type="dxa" w:w="2498"/>
            <w:tcMar>
              <w:top w:w="100" w:type="dxa"/>
              <w:start w:w="120" w:type="dxa"/>
              <w:bottom w:w="100" w:type="dxa"/>
              <w:end w:w="120" w:type="dxa"/>
            </w:tcMar>
            <w:vAlign w:val="center"/>
          </w:tcPr>
          <w:p>
            <w:pPr>
              <w:spacing w:after="0" w:line="240" w:lineRule="auto"/>
            </w:pPr>
            <w:r>
              <w:rPr>
                <w:sz w:val="17"/>
              </w:rPr>
              <w:t>JSON object</w:t>
            </w:r>
          </w:p>
        </w:tc>
        <w:tc>
          <w:tcPr>
            <w:tcW w:type="dxa" w:w="2498"/>
            <w:tcMar>
              <w:top w:w="100" w:type="dxa"/>
              <w:start w:w="120" w:type="dxa"/>
              <w:bottom w:w="100" w:type="dxa"/>
              <w:end w:w="120" w:type="dxa"/>
            </w:tcMar>
            <w:vAlign w:val="center"/>
          </w:tcPr>
          <w:p>
            <w:pPr>
              <w:spacing w:after="0" w:line="240" w:lineRule="auto"/>
            </w:pPr>
            <w:r>
              <w:rPr>
                <w:sz w:val="17"/>
              </w:rPr>
              <w:t>No</w:t>
            </w:r>
          </w:p>
        </w:tc>
        <w:tc>
          <w:tcPr>
            <w:tcW w:type="dxa" w:w="2498"/>
            <w:tcMar>
              <w:top w:w="100" w:type="dxa"/>
              <w:start w:w="120" w:type="dxa"/>
              <w:bottom w:w="100" w:type="dxa"/>
              <w:end w:w="120" w:type="dxa"/>
            </w:tcMar>
            <w:vAlign w:val="center"/>
          </w:tcPr>
          <w:p>
            <w:pPr>
              <w:spacing w:after="0" w:line="240" w:lineRule="auto"/>
            </w:pPr>
            <w:r>
              <w:rPr>
                <w:sz w:val="17"/>
              </w:rPr>
              <w:t>Keys are strings; size and depth limits apply</w:t>
            </w:r>
          </w:p>
        </w:tc>
      </w:tr>
      <w:tr>
        <w:tc>
          <w:tcPr>
            <w:tcW w:type="dxa" w:w="2498"/>
            <w:tcMar>
              <w:top w:w="100" w:type="dxa"/>
              <w:start w:w="120" w:type="dxa"/>
              <w:bottom w:w="100" w:type="dxa"/>
              <w:end w:w="120" w:type="dxa"/>
            </w:tcMar>
            <w:vAlign w:val="center"/>
            <w:shd w:fill="F5F7F8"/>
          </w:tcPr>
          <w:p>
            <w:pPr>
              <w:spacing w:after="0" w:line="240" w:lineRule="auto"/>
            </w:pPr>
            <w:r>
              <w:rPr>
                <w:sz w:val="17"/>
              </w:rPr>
              <w:t>`source`</w:t>
            </w:r>
          </w:p>
        </w:tc>
        <w:tc>
          <w:tcPr>
            <w:tcW w:type="dxa" w:w="2498"/>
            <w:tcMar>
              <w:top w:w="100" w:type="dxa"/>
              <w:start w:w="120" w:type="dxa"/>
              <w:bottom w:w="100" w:type="dxa"/>
              <w:end w:w="120" w:type="dxa"/>
            </w:tcMar>
            <w:vAlign w:val="center"/>
            <w:shd w:fill="F5F7F8"/>
          </w:tcPr>
          <w:p>
            <w:pPr>
              <w:spacing w:after="0" w:line="240" w:lineRule="auto"/>
            </w:pPr>
            <w:r>
              <w:rPr>
                <w:sz w:val="17"/>
              </w:rPr>
              <w:t>provenance object</w:t>
            </w:r>
          </w:p>
        </w:tc>
        <w:tc>
          <w:tcPr>
            <w:tcW w:type="dxa" w:w="2498"/>
            <w:tcMar>
              <w:top w:w="100" w:type="dxa"/>
              <w:start w:w="120" w:type="dxa"/>
              <w:bottom w:w="100" w:type="dxa"/>
              <w:end w:w="120" w:type="dxa"/>
            </w:tcMar>
            <w:vAlign w:val="center"/>
            <w:shd w:fill="F5F7F8"/>
          </w:tcPr>
          <w:p>
            <w:pPr>
              <w:spacing w:after="0" w:line="240" w:lineRule="auto"/>
            </w:pPr>
            <w:r>
              <w:rPr>
                <w:sz w:val="17"/>
              </w:rPr>
              <w:t>Yes</w:t>
            </w:r>
          </w:p>
        </w:tc>
        <w:tc>
          <w:tcPr>
            <w:tcW w:type="dxa" w:w="2498"/>
            <w:tcMar>
              <w:top w:w="100" w:type="dxa"/>
              <w:start w:w="120" w:type="dxa"/>
              <w:bottom w:w="100" w:type="dxa"/>
              <w:end w:w="120" w:type="dxa"/>
            </w:tcMar>
            <w:vAlign w:val="center"/>
            <w:shd w:fill="F5F7F8"/>
          </w:tcPr>
          <w:p>
            <w:pPr>
              <w:spacing w:after="0" w:line="240" w:lineRule="auto"/>
            </w:pPr>
            <w:r>
              <w:rPr>
                <w:sz w:val="17"/>
              </w:rPr>
              <w:t>Import or generation method, source IDs, versions, timestamps</w:t>
            </w:r>
          </w:p>
        </w:tc>
      </w:tr>
    </w:tbl>
    <w:p>
      <w:pPr>
        <w:spacing w:after="20"/>
      </w:pPr>
    </w:p>
    <w:p>
      <w:r>
        <w:t>An evaluation sample may support generation metrics, retrieval metrics, or both. Evaluators declare their requirements. A reference answer alone is not treated as a reference context, and source documents are not silently copied into reference contexts.</w:t>
      </w:r>
    </w:p>
    <w:p>
      <w:pPr>
        <w:pStyle w:val="Heading2"/>
      </w:pPr>
      <w:r>
        <w:t>Source document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shd w:fill="17324D"/>
            <w:tcMar>
              <w:top w:w="115" w:type="dxa"/>
              <w:start w:w="120" w:type="dxa"/>
              <w:bottom w:w="115" w:type="dxa"/>
              <w:end w:w="120" w:type="dxa"/>
            </w:tcMar>
            <w:vAlign w:val="center"/>
          </w:tcPr>
          <w:p>
            <w:r>
              <w:rPr>
                <w:b/>
                <w:color w:val="FFFFFF"/>
                <w:sz w:val="18"/>
              </w:rPr>
              <w:t>Field</w:t>
            </w:r>
          </w:p>
        </w:tc>
        <w:tc>
          <w:tcPr>
            <w:tcW w:type="dxa" w:w="4997"/>
            <w:shd w:fill="17324D"/>
            <w:tcMar>
              <w:top w:w="115" w:type="dxa"/>
              <w:start w:w="120" w:type="dxa"/>
              <w:bottom w:w="115" w:type="dxa"/>
              <w:end w:w="120" w:type="dxa"/>
            </w:tcMar>
            <w:vAlign w:val="center"/>
          </w:tcPr>
          <w:p>
            <w:r>
              <w:rPr>
                <w:b/>
                <w:color w:val="FFFFFF"/>
                <w:sz w:val="18"/>
              </w:rPr>
              <w:t>Meaning</w:t>
            </w:r>
          </w:p>
        </w:tc>
      </w:tr>
      <w:tr>
        <w:tc>
          <w:tcPr>
            <w:tcW w:type="dxa" w:w="4997"/>
            <w:tcMar>
              <w:top w:w="100" w:type="dxa"/>
              <w:start w:w="120" w:type="dxa"/>
              <w:bottom w:w="100" w:type="dxa"/>
              <w:end w:w="120" w:type="dxa"/>
            </w:tcMar>
            <w:vAlign w:val="center"/>
          </w:tcPr>
          <w:p>
            <w:pPr>
              <w:spacing w:after="0" w:line="240" w:lineRule="auto"/>
            </w:pPr>
            <w:r>
              <w:rPr>
                <w:sz w:val="17"/>
              </w:rPr>
              <w:t>`document_id`</w:t>
            </w:r>
          </w:p>
        </w:tc>
        <w:tc>
          <w:tcPr>
            <w:tcW w:type="dxa" w:w="4997"/>
            <w:tcMar>
              <w:top w:w="100" w:type="dxa"/>
              <w:start w:w="120" w:type="dxa"/>
              <w:bottom w:w="100" w:type="dxa"/>
              <w:end w:w="120" w:type="dxa"/>
            </w:tcMar>
            <w:vAlign w:val="center"/>
          </w:tcPr>
          <w:p>
            <w:pPr>
              <w:spacing w:after="0" w:line="240" w:lineRule="auto"/>
            </w:pPr>
            <w:r>
              <w:rPr>
                <w:sz w:val="17"/>
              </w:rPr>
              <w:t>Stable ID supplied by user or derived from normalized bytes and namespace</w:t>
            </w:r>
          </w:p>
        </w:tc>
      </w:tr>
      <w:tr>
        <w:tc>
          <w:tcPr>
            <w:tcW w:type="dxa" w:w="4997"/>
            <w:tcMar>
              <w:top w:w="100" w:type="dxa"/>
              <w:start w:w="120" w:type="dxa"/>
              <w:bottom w:w="100" w:type="dxa"/>
              <w:end w:w="120" w:type="dxa"/>
            </w:tcMar>
            <w:vAlign w:val="center"/>
            <w:shd w:fill="F5F7F8"/>
          </w:tcPr>
          <w:p>
            <w:pPr>
              <w:spacing w:after="0" w:line="240" w:lineRule="auto"/>
            </w:pPr>
            <w:r>
              <w:rPr>
                <w:sz w:val="17"/>
              </w:rPr>
              <w:t>`content`</w:t>
            </w:r>
          </w:p>
        </w:tc>
        <w:tc>
          <w:tcPr>
            <w:tcW w:type="dxa" w:w="4997"/>
            <w:tcMar>
              <w:top w:w="100" w:type="dxa"/>
              <w:start w:w="120" w:type="dxa"/>
              <w:bottom w:w="100" w:type="dxa"/>
              <w:end w:w="120" w:type="dxa"/>
            </w:tcMar>
            <w:vAlign w:val="center"/>
            <w:shd w:fill="F5F7F8"/>
          </w:tcPr>
          <w:p>
            <w:pPr>
              <w:spacing w:after="0" w:line="240" w:lineRule="auto"/>
            </w:pPr>
            <w:r>
              <w:rPr>
                <w:sz w:val="17"/>
              </w:rPr>
              <w:t>Extracted text passed to optional synthetic generation</w:t>
            </w:r>
          </w:p>
        </w:tc>
      </w:tr>
      <w:tr>
        <w:tc>
          <w:tcPr>
            <w:tcW w:type="dxa" w:w="4997"/>
            <w:tcMar>
              <w:top w:w="100" w:type="dxa"/>
              <w:start w:w="120" w:type="dxa"/>
              <w:bottom w:w="100" w:type="dxa"/>
              <w:end w:w="120" w:type="dxa"/>
            </w:tcMar>
            <w:vAlign w:val="center"/>
          </w:tcPr>
          <w:p>
            <w:pPr>
              <w:spacing w:after="0" w:line="240" w:lineRule="auto"/>
            </w:pPr>
            <w:r>
              <w:rPr>
                <w:sz w:val="17"/>
              </w:rPr>
              <w:t>`mime_type`</w:t>
            </w:r>
          </w:p>
        </w:tc>
        <w:tc>
          <w:tcPr>
            <w:tcW w:type="dxa" w:w="4997"/>
            <w:tcMar>
              <w:top w:w="100" w:type="dxa"/>
              <w:start w:w="120" w:type="dxa"/>
              <w:bottom w:w="100" w:type="dxa"/>
              <w:end w:w="120" w:type="dxa"/>
            </w:tcMar>
            <w:vAlign w:val="center"/>
          </w:tcPr>
          <w:p>
            <w:pPr>
              <w:spacing w:after="0" w:line="240" w:lineRule="auto"/>
            </w:pPr>
            <w:r>
              <w:rPr>
                <w:sz w:val="17"/>
              </w:rPr>
              <w:t>Source type such as text, Markdown, HTML, or PDF</w:t>
            </w:r>
          </w:p>
        </w:tc>
      </w:tr>
      <w:tr>
        <w:tc>
          <w:tcPr>
            <w:tcW w:type="dxa" w:w="4997"/>
            <w:tcMar>
              <w:top w:w="100" w:type="dxa"/>
              <w:start w:w="120" w:type="dxa"/>
              <w:bottom w:w="100" w:type="dxa"/>
              <w:end w:w="120" w:type="dxa"/>
            </w:tcMar>
            <w:vAlign w:val="center"/>
            <w:shd w:fill="F5F7F8"/>
          </w:tcPr>
          <w:p>
            <w:pPr>
              <w:spacing w:after="0" w:line="240" w:lineRule="auto"/>
            </w:pPr>
            <w:r>
              <w:rPr>
                <w:sz w:val="17"/>
              </w:rPr>
              <w:t>`uri`</w:t>
            </w:r>
          </w:p>
        </w:tc>
        <w:tc>
          <w:tcPr>
            <w:tcW w:type="dxa" w:w="4997"/>
            <w:tcMar>
              <w:top w:w="100" w:type="dxa"/>
              <w:start w:w="120" w:type="dxa"/>
              <w:bottom w:w="100" w:type="dxa"/>
              <w:end w:w="120" w:type="dxa"/>
            </w:tcMar>
            <w:vAlign w:val="center"/>
            <w:shd w:fill="F5F7F8"/>
          </w:tcPr>
          <w:p>
            <w:pPr>
              <w:spacing w:after="0" w:line="240" w:lineRule="auto"/>
            </w:pPr>
            <w:r>
              <w:rPr>
                <w:sz w:val="17"/>
              </w:rPr>
              <w:t>Optional source location, stored only under provenance policy</w:t>
            </w:r>
          </w:p>
        </w:tc>
      </w:tr>
      <w:tr>
        <w:tc>
          <w:tcPr>
            <w:tcW w:type="dxa" w:w="4997"/>
            <w:tcMar>
              <w:top w:w="100" w:type="dxa"/>
              <w:start w:w="120" w:type="dxa"/>
              <w:bottom w:w="100" w:type="dxa"/>
              <w:end w:w="120" w:type="dxa"/>
            </w:tcMar>
            <w:vAlign w:val="center"/>
          </w:tcPr>
          <w:p>
            <w:pPr>
              <w:spacing w:after="0" w:line="240" w:lineRule="auto"/>
            </w:pPr>
            <w:r>
              <w:rPr>
                <w:sz w:val="17"/>
              </w:rPr>
              <w:t>`metadata`</w:t>
            </w:r>
          </w:p>
        </w:tc>
        <w:tc>
          <w:tcPr>
            <w:tcW w:type="dxa" w:w="4997"/>
            <w:tcMar>
              <w:top w:w="100" w:type="dxa"/>
              <w:start w:w="120" w:type="dxa"/>
              <w:bottom w:w="100" w:type="dxa"/>
              <w:end w:w="120" w:type="dxa"/>
            </w:tcMar>
            <w:vAlign w:val="center"/>
          </w:tcPr>
          <w:p>
            <w:pPr>
              <w:spacing w:after="0" w:line="240" w:lineRule="auto"/>
            </w:pPr>
            <w:r>
              <w:rPr>
                <w:sz w:val="17"/>
              </w:rPr>
              <w:t>User-approved attributes such as title, date, and access class</w:t>
            </w:r>
          </w:p>
        </w:tc>
      </w:tr>
      <w:tr>
        <w:tc>
          <w:tcPr>
            <w:tcW w:type="dxa" w:w="4997"/>
            <w:tcMar>
              <w:top w:w="100" w:type="dxa"/>
              <w:start w:w="120" w:type="dxa"/>
              <w:bottom w:w="100" w:type="dxa"/>
              <w:end w:w="120" w:type="dxa"/>
            </w:tcMar>
            <w:vAlign w:val="center"/>
            <w:shd w:fill="F5F7F8"/>
          </w:tcPr>
          <w:p>
            <w:pPr>
              <w:spacing w:after="0" w:line="240" w:lineRule="auto"/>
            </w:pPr>
            <w:r>
              <w:rPr>
                <w:sz w:val="17"/>
              </w:rPr>
              <w:t>`content_hash`</w:t>
            </w:r>
          </w:p>
        </w:tc>
        <w:tc>
          <w:tcPr>
            <w:tcW w:type="dxa" w:w="4997"/>
            <w:tcMar>
              <w:top w:w="100" w:type="dxa"/>
              <w:start w:w="120" w:type="dxa"/>
              <w:bottom w:w="100" w:type="dxa"/>
              <w:end w:w="120" w:type="dxa"/>
            </w:tcMar>
            <w:vAlign w:val="center"/>
            <w:shd w:fill="F5F7F8"/>
          </w:tcPr>
          <w:p>
            <w:pPr>
              <w:spacing w:after="0" w:line="240" w:lineRule="auto"/>
            </w:pPr>
            <w:r>
              <w:rPr>
                <w:sz w:val="17"/>
              </w:rPr>
              <w:t>Digest of normalized semantic text</w:t>
            </w:r>
          </w:p>
        </w:tc>
      </w:tr>
      <w:tr>
        <w:tc>
          <w:tcPr>
            <w:tcW w:type="dxa" w:w="4997"/>
            <w:tcMar>
              <w:top w:w="100" w:type="dxa"/>
              <w:start w:w="120" w:type="dxa"/>
              <w:bottom w:w="100" w:type="dxa"/>
              <w:end w:w="120" w:type="dxa"/>
            </w:tcMar>
            <w:vAlign w:val="center"/>
          </w:tcPr>
          <w:p>
            <w:pPr>
              <w:spacing w:after="0" w:line="240" w:lineRule="auto"/>
            </w:pPr>
            <w:r>
              <w:rPr>
                <w:sz w:val="17"/>
              </w:rPr>
              <w:t>`extractor`</w:t>
            </w:r>
          </w:p>
        </w:tc>
        <w:tc>
          <w:tcPr>
            <w:tcW w:type="dxa" w:w="4997"/>
            <w:tcMar>
              <w:top w:w="100" w:type="dxa"/>
              <w:start w:w="120" w:type="dxa"/>
              <w:bottom w:w="100" w:type="dxa"/>
              <w:end w:w="120" w:type="dxa"/>
            </w:tcMar>
            <w:vAlign w:val="center"/>
          </w:tcPr>
          <w:p>
            <w:pPr>
              <w:spacing w:after="0" w:line="240" w:lineRule="auto"/>
            </w:pPr>
            <w:r>
              <w:rPr>
                <w:sz w:val="17"/>
              </w:rPr>
              <w:t>Name and version of extraction implementation</w:t>
            </w:r>
          </w:p>
        </w:tc>
      </w:tr>
    </w:tbl>
    <w:p>
      <w:pPr>
        <w:spacing w:after="20"/>
      </w:pPr>
    </w:p>
    <w:p>
      <w:pPr>
        <w:pStyle w:val="Heading1"/>
      </w:pPr>
      <w:r>
        <w:t>Supported ingestion in V0.1</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Format</w:t>
            </w:r>
          </w:p>
        </w:tc>
        <w:tc>
          <w:tcPr>
            <w:tcW w:type="dxa" w:w="3331"/>
            <w:shd w:fill="17324D"/>
            <w:tcMar>
              <w:top w:w="115" w:type="dxa"/>
              <w:start w:w="120" w:type="dxa"/>
              <w:bottom w:w="115" w:type="dxa"/>
              <w:end w:w="120" w:type="dxa"/>
            </w:tcMar>
            <w:vAlign w:val="center"/>
          </w:tcPr>
          <w:p>
            <w:r>
              <w:rPr>
                <w:b/>
                <w:color w:val="FFFFFF"/>
                <w:sz w:val="18"/>
              </w:rPr>
              <w:t>Expected shape</w:t>
            </w:r>
          </w:p>
        </w:tc>
        <w:tc>
          <w:tcPr>
            <w:tcW w:type="dxa" w:w="3331"/>
            <w:shd w:fill="17324D"/>
            <w:tcMar>
              <w:top w:w="115" w:type="dxa"/>
              <w:start w:w="120" w:type="dxa"/>
              <w:bottom w:w="115" w:type="dxa"/>
              <w:end w:w="120" w:type="dxa"/>
            </w:tcMar>
            <w:vAlign w:val="center"/>
          </w:tcPr>
          <w:p>
            <w:r>
              <w:rPr>
                <w:b/>
                <w:color w:val="FFFFFF"/>
                <w:sz w:val="18"/>
              </w:rPr>
              <w:t>Notes</w:t>
            </w:r>
          </w:p>
        </w:tc>
      </w:tr>
      <w:tr>
        <w:tc>
          <w:tcPr>
            <w:tcW w:type="dxa" w:w="3331"/>
            <w:tcMar>
              <w:top w:w="100" w:type="dxa"/>
              <w:start w:w="120" w:type="dxa"/>
              <w:bottom w:w="100" w:type="dxa"/>
              <w:end w:w="120" w:type="dxa"/>
            </w:tcMar>
            <w:vAlign w:val="center"/>
          </w:tcPr>
          <w:p>
            <w:pPr>
              <w:spacing w:after="0" w:line="240" w:lineRule="auto"/>
            </w:pPr>
            <w:r>
              <w:rPr>
                <w:sz w:val="17"/>
              </w:rPr>
              <w:t>JSONL</w:t>
            </w:r>
          </w:p>
        </w:tc>
        <w:tc>
          <w:tcPr>
            <w:tcW w:type="dxa" w:w="3331"/>
            <w:tcMar>
              <w:top w:w="100" w:type="dxa"/>
              <w:start w:w="120" w:type="dxa"/>
              <w:bottom w:w="100" w:type="dxa"/>
              <w:end w:w="120" w:type="dxa"/>
            </w:tcMar>
            <w:vAlign w:val="center"/>
          </w:tcPr>
          <w:p>
            <w:pPr>
              <w:spacing w:after="0" w:line="240" w:lineRule="auto"/>
            </w:pPr>
            <w:r>
              <w:rPr>
                <w:sz w:val="17"/>
              </w:rPr>
              <w:t>One object per sample</w:t>
            </w:r>
          </w:p>
        </w:tc>
        <w:tc>
          <w:tcPr>
            <w:tcW w:type="dxa" w:w="3331"/>
            <w:tcMar>
              <w:top w:w="100" w:type="dxa"/>
              <w:start w:w="120" w:type="dxa"/>
              <w:bottom w:w="100" w:type="dxa"/>
              <w:end w:w="120" w:type="dxa"/>
            </w:tcMar>
            <w:vAlign w:val="center"/>
          </w:tcPr>
          <w:p>
            <w:pPr>
              <w:spacing w:after="0" w:line="240" w:lineRule="auto"/>
            </w:pPr>
            <w:r>
              <w:rPr>
                <w:sz w:val="17"/>
              </w:rPr>
              <w:t>Preferred for streaming and large datasets</w:t>
            </w:r>
          </w:p>
        </w:tc>
      </w:tr>
      <w:tr>
        <w:tc>
          <w:tcPr>
            <w:tcW w:type="dxa" w:w="3331"/>
            <w:tcMar>
              <w:top w:w="100" w:type="dxa"/>
              <w:start w:w="120" w:type="dxa"/>
              <w:bottom w:w="100" w:type="dxa"/>
              <w:end w:w="120" w:type="dxa"/>
            </w:tcMar>
            <w:vAlign w:val="center"/>
            <w:shd w:fill="F5F7F8"/>
          </w:tcPr>
          <w:p>
            <w:pPr>
              <w:spacing w:after="0" w:line="240" w:lineRule="auto"/>
            </w:pPr>
            <w:r>
              <w:rPr>
                <w:sz w:val="17"/>
              </w:rPr>
              <w:t>JSON</w:t>
            </w:r>
          </w:p>
        </w:tc>
        <w:tc>
          <w:tcPr>
            <w:tcW w:type="dxa" w:w="3331"/>
            <w:tcMar>
              <w:top w:w="100" w:type="dxa"/>
              <w:start w:w="120" w:type="dxa"/>
              <w:bottom w:w="100" w:type="dxa"/>
              <w:end w:w="120" w:type="dxa"/>
            </w:tcMar>
            <w:vAlign w:val="center"/>
            <w:shd w:fill="F5F7F8"/>
          </w:tcPr>
          <w:p>
            <w:pPr>
              <w:spacing w:after="0" w:line="240" w:lineRule="auto"/>
            </w:pPr>
            <w:r>
              <w:rPr>
                <w:sz w:val="17"/>
              </w:rPr>
              <w:t>Array of sample objects</w:t>
            </w:r>
          </w:p>
        </w:tc>
        <w:tc>
          <w:tcPr>
            <w:tcW w:type="dxa" w:w="3331"/>
            <w:tcMar>
              <w:top w:w="100" w:type="dxa"/>
              <w:start w:w="120" w:type="dxa"/>
              <w:bottom w:w="100" w:type="dxa"/>
              <w:end w:w="120" w:type="dxa"/>
            </w:tcMar>
            <w:vAlign w:val="center"/>
            <w:shd w:fill="F5F7F8"/>
          </w:tcPr>
          <w:p>
            <w:pPr>
              <w:spacing w:after="0" w:line="240" w:lineRule="auto"/>
            </w:pPr>
            <w:r>
              <w:rPr>
                <w:sz w:val="17"/>
              </w:rPr>
              <w:t>Entire file may be loaded; configured size limit applies</w:t>
            </w:r>
          </w:p>
        </w:tc>
      </w:tr>
      <w:tr>
        <w:tc>
          <w:tcPr>
            <w:tcW w:type="dxa" w:w="3331"/>
            <w:tcMar>
              <w:top w:w="100" w:type="dxa"/>
              <w:start w:w="120" w:type="dxa"/>
              <w:bottom w:w="100" w:type="dxa"/>
              <w:end w:w="120" w:type="dxa"/>
            </w:tcMar>
            <w:vAlign w:val="center"/>
          </w:tcPr>
          <w:p>
            <w:pPr>
              <w:spacing w:after="0" w:line="240" w:lineRule="auto"/>
            </w:pPr>
            <w:r>
              <w:rPr>
                <w:sz w:val="17"/>
              </w:rPr>
              <w:t>CSV</w:t>
            </w:r>
          </w:p>
        </w:tc>
        <w:tc>
          <w:tcPr>
            <w:tcW w:type="dxa" w:w="3331"/>
            <w:tcMar>
              <w:top w:w="100" w:type="dxa"/>
              <w:start w:w="120" w:type="dxa"/>
              <w:bottom w:w="100" w:type="dxa"/>
              <w:end w:w="120" w:type="dxa"/>
            </w:tcMar>
            <w:vAlign w:val="center"/>
          </w:tcPr>
          <w:p>
            <w:pPr>
              <w:spacing w:after="0" w:line="240" w:lineRule="auto"/>
            </w:pPr>
            <w:r>
              <w:rPr>
                <w:sz w:val="17"/>
              </w:rPr>
              <w:t>Header row with mapped fields</w:t>
            </w:r>
          </w:p>
        </w:tc>
        <w:tc>
          <w:tcPr>
            <w:tcW w:type="dxa" w:w="3331"/>
            <w:tcMar>
              <w:top w:w="100" w:type="dxa"/>
              <w:start w:w="120" w:type="dxa"/>
              <w:bottom w:w="100" w:type="dxa"/>
              <w:end w:w="120" w:type="dxa"/>
            </w:tcMar>
            <w:vAlign w:val="center"/>
          </w:tcPr>
          <w:p>
            <w:pPr>
              <w:spacing w:after="0" w:line="240" w:lineRule="auto"/>
            </w:pPr>
            <w:r>
              <w:rPr>
                <w:sz w:val="17"/>
              </w:rPr>
              <w:t>Lists use JSON strings or configurable delimiter</w:t>
            </w:r>
          </w:p>
        </w:tc>
      </w:tr>
      <w:tr>
        <w:tc>
          <w:tcPr>
            <w:tcW w:type="dxa" w:w="3331"/>
            <w:tcMar>
              <w:top w:w="100" w:type="dxa"/>
              <w:start w:w="120" w:type="dxa"/>
              <w:bottom w:w="100" w:type="dxa"/>
              <w:end w:w="120" w:type="dxa"/>
            </w:tcMar>
            <w:vAlign w:val="center"/>
            <w:shd w:fill="F5F7F8"/>
          </w:tcPr>
          <w:p>
            <w:pPr>
              <w:spacing w:after="0" w:line="240" w:lineRule="auto"/>
            </w:pPr>
            <w:r>
              <w:rPr>
                <w:sz w:val="17"/>
              </w:rPr>
              <w:t>Python objects</w:t>
            </w:r>
          </w:p>
        </w:tc>
        <w:tc>
          <w:tcPr>
            <w:tcW w:type="dxa" w:w="3331"/>
            <w:tcMar>
              <w:top w:w="100" w:type="dxa"/>
              <w:start w:w="120" w:type="dxa"/>
              <w:bottom w:w="100" w:type="dxa"/>
              <w:end w:w="120" w:type="dxa"/>
            </w:tcMar>
            <w:vAlign w:val="center"/>
            <w:shd w:fill="F5F7F8"/>
          </w:tcPr>
          <w:p>
            <w:pPr>
              <w:spacing w:after="0" w:line="240" w:lineRule="auto"/>
            </w:pPr>
            <w:r>
              <w:rPr>
                <w:sz w:val="17"/>
              </w:rPr>
              <w:t>Iterable of `EvaluationSample` or mappings</w:t>
            </w:r>
          </w:p>
        </w:tc>
        <w:tc>
          <w:tcPr>
            <w:tcW w:type="dxa" w:w="3331"/>
            <w:tcMar>
              <w:top w:w="100" w:type="dxa"/>
              <w:start w:w="120" w:type="dxa"/>
              <w:bottom w:w="100" w:type="dxa"/>
              <w:end w:w="120" w:type="dxa"/>
            </w:tcMar>
            <w:vAlign w:val="center"/>
            <w:shd w:fill="F5F7F8"/>
          </w:tcPr>
          <w:p>
            <w:pPr>
              <w:spacing w:after="0" w:line="240" w:lineRule="auto"/>
            </w:pPr>
            <w:r>
              <w:rPr>
                <w:sz w:val="17"/>
              </w:rPr>
              <w:t>Validated through the same normalization pipeline</w:t>
            </w:r>
          </w:p>
        </w:tc>
      </w:tr>
      <w:tr>
        <w:tc>
          <w:tcPr>
            <w:tcW w:type="dxa" w:w="3331"/>
            <w:tcMar>
              <w:top w:w="100" w:type="dxa"/>
              <w:start w:w="120" w:type="dxa"/>
              <w:bottom w:w="100" w:type="dxa"/>
              <w:end w:w="120" w:type="dxa"/>
            </w:tcMar>
            <w:vAlign w:val="center"/>
          </w:tcPr>
          <w:p>
            <w:pPr>
              <w:spacing w:after="0" w:line="240" w:lineRule="auto"/>
            </w:pPr>
            <w:r>
              <w:rPr>
                <w:sz w:val="17"/>
              </w:rPr>
              <w:t>Documents for synthesis</w:t>
            </w:r>
          </w:p>
        </w:tc>
        <w:tc>
          <w:tcPr>
            <w:tcW w:type="dxa" w:w="3331"/>
            <w:tcMar>
              <w:top w:w="100" w:type="dxa"/>
              <w:start w:w="120" w:type="dxa"/>
              <w:bottom w:w="100" w:type="dxa"/>
              <w:end w:w="120" w:type="dxa"/>
            </w:tcMar>
            <w:vAlign w:val="center"/>
          </w:tcPr>
          <w:p>
            <w:pPr>
              <w:spacing w:after="0" w:line="240" w:lineRule="auto"/>
            </w:pPr>
            <w:r>
              <w:rPr>
                <w:sz w:val="17"/>
              </w:rPr>
              <w:t>Text and Markdown; PDF through optional extractor</w:t>
            </w:r>
          </w:p>
        </w:tc>
        <w:tc>
          <w:tcPr>
            <w:tcW w:type="dxa" w:w="3331"/>
            <w:tcMar>
              <w:top w:w="100" w:type="dxa"/>
              <w:start w:w="120" w:type="dxa"/>
              <w:bottom w:w="100" w:type="dxa"/>
              <w:end w:w="120" w:type="dxa"/>
            </w:tcMar>
            <w:vAlign w:val="center"/>
          </w:tcPr>
          <w:p>
            <w:pPr>
              <w:spacing w:after="0" w:line="240" w:lineRule="auto"/>
            </w:pPr>
            <w:r>
              <w:rPr>
                <w:sz w:val="17"/>
              </w:rPr>
              <w:t>Synthetic generation remains optional</w:t>
            </w:r>
          </w:p>
        </w:tc>
      </w:tr>
    </w:tbl>
    <w:p>
      <w:pPr>
        <w:spacing w:after="20"/>
      </w:pPr>
    </w:p>
    <w:p>
      <w:r>
        <w:t>Parquet and Hugging Face datasets are candidates for later versions. V0.1 can support them through user conversion without adding heavy core dependencies.</w:t>
      </w:r>
    </w:p>
    <w:p>
      <w:pPr>
        <w:pStyle w:val="Heading1"/>
      </w:pPr>
      <w:r>
        <w:t>Ingestion pipeline</w:t>
      </w:r>
    </w:p>
    <w:p>
      <w:pPr>
        <w:spacing w:before="80" w:after="140" w:line="240" w:lineRule="auto"/>
        <w:ind w:left="360" w:right="216"/>
      </w:pPr>
      <w:r>
        <w:rPr>
          <w:rFonts w:ascii="Cascadia Mono" w:hAnsi="Cascadia Mono"/>
          <w:sz w:val="17"/>
        </w:rPr>
        <w:t>Source bytes or Python records</w:t>
        <w:br/>
      </w:r>
      <w:r>
        <w:rPr>
          <w:rFonts w:ascii="Cascadia Mono" w:hAnsi="Cascadia Mono"/>
          <w:sz w:val="17"/>
        </w:rPr>
        <w:t xml:space="preserve">        |</w:t>
        <w:br/>
      </w:r>
      <w:r>
        <w:rPr>
          <w:rFonts w:ascii="Cascadia Mono" w:hAnsi="Cascadia Mono"/>
          <w:sz w:val="17"/>
        </w:rPr>
        <w:t xml:space="preserve">        v</w:t>
        <w:br/>
      </w:r>
      <w:r>
        <w:rPr>
          <w:rFonts w:ascii="Cascadia Mono" w:hAnsi="Cascadia Mono"/>
          <w:sz w:val="17"/>
        </w:rPr>
        <w:t>Format reader and field mapping</w:t>
        <w:br/>
      </w:r>
      <w:r>
        <w:rPr>
          <w:rFonts w:ascii="Cascadia Mono" w:hAnsi="Cascadia Mono"/>
          <w:sz w:val="17"/>
        </w:rPr>
        <w:t xml:space="preserve">        |</w:t>
        <w:br/>
      </w:r>
      <w:r>
        <w:rPr>
          <w:rFonts w:ascii="Cascadia Mono" w:hAnsi="Cascadia Mono"/>
          <w:sz w:val="17"/>
        </w:rPr>
        <w:t xml:space="preserve">        v</w:t>
        <w:br/>
      </w:r>
      <w:r>
        <w:rPr>
          <w:rFonts w:ascii="Cascadia Mono" w:hAnsi="Cascadia Mono"/>
          <w:sz w:val="17"/>
        </w:rPr>
        <w:t>Syntactic validation</w:t>
        <w:br/>
      </w:r>
      <w:r>
        <w:rPr>
          <w:rFonts w:ascii="Cascadia Mono" w:hAnsi="Cascadia Mono"/>
          <w:sz w:val="17"/>
        </w:rPr>
        <w:t xml:space="preserve">        |</w:t>
        <w:br/>
      </w:r>
      <w:r>
        <w:rPr>
          <w:rFonts w:ascii="Cascadia Mono" w:hAnsi="Cascadia Mono"/>
          <w:sz w:val="17"/>
        </w:rPr>
        <w:t xml:space="preserve">        v</w:t>
        <w:br/>
      </w:r>
      <w:r>
        <w:rPr>
          <w:rFonts w:ascii="Cascadia Mono" w:hAnsi="Cascadia Mono"/>
          <w:sz w:val="17"/>
        </w:rPr>
        <w:t>Text and metadata normalization</w:t>
        <w:br/>
      </w:r>
      <w:r>
        <w:rPr>
          <w:rFonts w:ascii="Cascadia Mono" w:hAnsi="Cascadia Mono"/>
          <w:sz w:val="17"/>
        </w:rPr>
        <w:t xml:space="preserve">        |</w:t>
        <w:br/>
      </w:r>
      <w:r>
        <w:rPr>
          <w:rFonts w:ascii="Cascadia Mono" w:hAnsi="Cascadia Mono"/>
          <w:sz w:val="17"/>
        </w:rPr>
        <w:t xml:space="preserve">        v</w:t>
        <w:br/>
      </w:r>
      <w:r>
        <w:rPr>
          <w:rFonts w:ascii="Cascadia Mono" w:hAnsi="Cascadia Mono"/>
          <w:sz w:val="17"/>
        </w:rPr>
        <w:t>Semantic validation and deduplication</w:t>
        <w:br/>
      </w:r>
      <w:r>
        <w:rPr>
          <w:rFonts w:ascii="Cascadia Mono" w:hAnsi="Cascadia Mono"/>
          <w:sz w:val="17"/>
        </w:rPr>
        <w:t xml:space="preserve">        |</w:t>
        <w:br/>
      </w:r>
      <w:r>
        <w:rPr>
          <w:rFonts w:ascii="Cascadia Mono" w:hAnsi="Cascadia Mono"/>
          <w:sz w:val="17"/>
        </w:rPr>
        <w:t xml:space="preserve">        v</w:t>
        <w:br/>
      </w:r>
      <w:r>
        <w:rPr>
          <w:rFonts w:ascii="Cascadia Mono" w:hAnsi="Cascadia Mono"/>
          <w:sz w:val="17"/>
        </w:rPr>
        <w:t>Stable IDs and dataset hash</w:t>
        <w:br/>
      </w:r>
      <w:r>
        <w:rPr>
          <w:rFonts w:ascii="Cascadia Mono" w:hAnsi="Cascadia Mono"/>
          <w:sz w:val="17"/>
        </w:rPr>
        <w:t xml:space="preserve">        |</w:t>
        <w:br/>
      </w:r>
      <w:r>
        <w:rPr>
          <w:rFonts w:ascii="Cascadia Mono" w:hAnsi="Cascadia Mono"/>
          <w:sz w:val="17"/>
        </w:rPr>
        <w:t xml:space="preserve">        v</w:t>
        <w:br/>
      </w:r>
      <w:r>
        <w:rPr>
          <w:rFonts w:ascii="Cascadia Mono" w:hAnsi="Cascadia Mono"/>
          <w:sz w:val="17"/>
        </w:rPr>
        <w:t>Deterministic split assignment</w:t>
        <w:br/>
      </w:r>
      <w:r>
        <w:rPr>
          <w:rFonts w:ascii="Cascadia Mono" w:hAnsi="Cascadia Mono"/>
          <w:sz w:val="17"/>
        </w:rPr>
        <w:t xml:space="preserve">        |</w:t>
        <w:br/>
      </w:r>
      <w:r>
        <w:rPr>
          <w:rFonts w:ascii="Cascadia Mono" w:hAnsi="Cascadia Mono"/>
          <w:sz w:val="17"/>
        </w:rPr>
        <w:t xml:space="preserve">        v</w:t>
        <w:br/>
      </w:r>
      <w:r>
        <w:rPr>
          <w:rFonts w:ascii="Cascadia Mono" w:hAnsi="Cascadia Mono"/>
          <w:sz w:val="17"/>
        </w:rPr>
        <w:t>Immutable EvaluationDataset</w:t>
      </w:r>
    </w:p>
    <w:p>
      <w:r>
        <w:t>Readers attach source location and row information to validation errors. The pipeline accumulates bounded errors so a user can fix several rows in one pass, then stops at the configured maximum to avoid excessive memory or sensitive output.</w:t>
      </w:r>
    </w:p>
    <w:p>
      <w:pPr>
        <w:pStyle w:val="Heading1"/>
      </w:pPr>
      <w:r>
        <w:t>Field mapping</w:t>
      </w:r>
    </w:p>
    <w:p>
      <w:r>
        <w:t xml:space="preserve">Users may map common field names explicitly. Automatic aliases cover only unambiguous names such as </w:t>
      </w:r>
      <w:r>
        <w:rPr>
          <w:rFonts w:ascii="Cascadia Mono" w:hAnsi="Cascadia Mono"/>
          <w:sz w:val="18"/>
        </w:rPr>
        <w:t>question</w:t>
      </w:r>
      <w:r>
        <w:t xml:space="preserve"> to query and </w:t>
      </w:r>
      <w:r>
        <w:rPr>
          <w:rFonts w:ascii="Cascadia Mono" w:hAnsi="Cascadia Mono"/>
          <w:sz w:val="18"/>
        </w:rPr>
        <w:t>ground_truth</w:t>
      </w:r>
      <w:r>
        <w:t xml:space="preserve"> to reference answer. The loader never guesses between multiple possible query fields.</w:t>
      </w:r>
    </w:p>
    <w:p>
      <w:pPr>
        <w:spacing w:before="80" w:after="140" w:line="240" w:lineRule="auto"/>
        <w:ind w:left="360" w:right="216"/>
      </w:pPr>
      <w:r>
        <w:rPr>
          <w:rFonts w:ascii="Cascadia Mono" w:hAnsi="Cascadia Mono"/>
          <w:sz w:val="17"/>
        </w:rPr>
        <w:t>dataset = EvaluationDataset.from_csv(</w:t>
        <w:br/>
      </w:r>
      <w:r>
        <w:rPr>
          <w:rFonts w:ascii="Cascadia Mono" w:hAnsi="Cascadia Mono"/>
          <w:sz w:val="17"/>
        </w:rPr>
        <w:t xml:space="preserve">    "support_eval.csv",</w:t>
        <w:br/>
      </w:r>
      <w:r>
        <w:rPr>
          <w:rFonts w:ascii="Cascadia Mono" w:hAnsi="Cascadia Mono"/>
          <w:sz w:val="17"/>
        </w:rPr>
        <w:t xml:space="preserve">    query_field="customer_question",</w:t>
        <w:br/>
      </w:r>
      <w:r>
        <w:rPr>
          <w:rFonts w:ascii="Cascadia Mono" w:hAnsi="Cascadia Mono"/>
          <w:sz w:val="17"/>
        </w:rPr>
        <w:t xml:space="preserve">    answer_field="approved_answer",</w:t>
        <w:br/>
      </w:r>
      <w:r>
        <w:rPr>
          <w:rFonts w:ascii="Cascadia Mono" w:hAnsi="Cascadia Mono"/>
          <w:sz w:val="17"/>
        </w:rPr>
        <w:t xml:space="preserve">    contexts_field="evidence_passages_json",</w:t>
        <w:br/>
      </w:r>
      <w:r>
        <w:rPr>
          <w:rFonts w:ascii="Cascadia Mono" w:hAnsi="Cascadia Mono"/>
          <w:sz w:val="17"/>
        </w:rPr>
        <w:t xml:space="preserve">    id_field="case_id",</w:t>
        <w:br/>
      </w:r>
      <w:r>
        <w:rPr>
          <w:rFonts w:ascii="Cascadia Mono" w:hAnsi="Cascadia Mono"/>
          <w:sz w:val="17"/>
        </w:rPr>
        <w:t>)</w:t>
      </w:r>
    </w:p>
    <w:p>
      <w:pPr>
        <w:pStyle w:val="Heading1"/>
      </w:pPr>
      <w:r>
        <w:t>Text normalization</w:t>
      </w:r>
    </w:p>
    <w:p>
      <w:r>
        <w:t>Normalization aims to make semantically identical inputs hash consistently without rewriting user meaning.</w:t>
      </w:r>
    </w:p>
    <w:p>
      <w:pPr>
        <w:spacing w:after="50" w:line="269" w:lineRule="auto"/>
        <w:ind w:left="115"/>
      </w:pPr>
      <w:r>
        <w:t xml:space="preserve">1. </w:t>
      </w:r>
      <w:r>
        <w:t>Decode according to declared encoding, defaulting to UTF-8 with strict errors.</w:t>
      </w:r>
      <w:r>
        <w:br/>
      </w:r>
      <w:r>
        <w:t xml:space="preserve">2. </w:t>
      </w:r>
      <w:r>
        <w:t>Normalize line endings to line feed.</w:t>
      </w:r>
      <w:r>
        <w:br/>
      </w:r>
      <w:r>
        <w:t xml:space="preserve">3. </w:t>
      </w:r>
      <w:r>
        <w:t>Apply Unicode NFC normalization.</w:t>
      </w:r>
      <w:r>
        <w:br/>
      </w:r>
      <w:r>
        <w:t xml:space="preserve">4. </w:t>
      </w:r>
      <w:r>
        <w:t>Remove a leading byte-order mark.</w:t>
      </w:r>
      <w:r>
        <w:br/>
      </w:r>
      <w:r>
        <w:t xml:space="preserve">5. </w:t>
      </w:r>
      <w:r>
        <w:t>Trim outer whitespace while preserving internal spaces and paragraph breaks.</w:t>
      </w:r>
      <w:r>
        <w:br/>
      </w:r>
      <w:r>
        <w:t xml:space="preserve">6. </w:t>
      </w:r>
      <w:r>
        <w:t>Reject strings containing disallowed control characters.</w:t>
      </w:r>
      <w:r>
        <w:br/>
      </w:r>
      <w:r>
        <w:t xml:space="preserve">7. </w:t>
      </w:r>
      <w:r>
        <w:t>Preserve case, punctuation, and internal whitespace because evaluators may depend on them.</w:t>
      </w:r>
    </w:p>
    <w:p>
      <w:r>
        <w:t>HTML extraction strips navigation and scripts only through an explicit extractor. PDF extraction records page boundaries and extraction version. OCR is not included in the base package.</w:t>
      </w:r>
    </w:p>
    <w:p>
      <w:pPr>
        <w:pStyle w:val="Heading1"/>
      </w:pPr>
      <w:r>
        <w:t>Validation rules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Rule</w:t>
            </w:r>
          </w:p>
        </w:tc>
        <w:tc>
          <w:tcPr>
            <w:tcW w:type="dxa" w:w="3331"/>
            <w:shd w:fill="17324D"/>
            <w:tcMar>
              <w:top w:w="115" w:type="dxa"/>
              <w:start w:w="120" w:type="dxa"/>
              <w:bottom w:w="115" w:type="dxa"/>
              <w:end w:w="120" w:type="dxa"/>
            </w:tcMar>
            <w:vAlign w:val="center"/>
          </w:tcPr>
          <w:p>
            <w:r>
              <w:rPr>
                <w:b/>
                <w:color w:val="FFFFFF"/>
                <w:sz w:val="18"/>
              </w:rPr>
              <w:t>Severity</w:t>
            </w:r>
          </w:p>
        </w:tc>
        <w:tc>
          <w:tcPr>
            <w:tcW w:type="dxa" w:w="3331"/>
            <w:shd w:fill="17324D"/>
            <w:tcMar>
              <w:top w:w="115" w:type="dxa"/>
              <w:start w:w="120" w:type="dxa"/>
              <w:bottom w:w="115" w:type="dxa"/>
              <w:end w:w="120" w:type="dxa"/>
            </w:tcMar>
            <w:vAlign w:val="center"/>
          </w:tcPr>
          <w:p>
            <w:r>
              <w:rPr>
                <w:b/>
                <w:color w:val="FFFFFF"/>
                <w:sz w:val="18"/>
              </w:rPr>
              <w:t>Required response</w:t>
            </w:r>
          </w:p>
        </w:tc>
      </w:tr>
      <w:tr>
        <w:tc>
          <w:tcPr>
            <w:tcW w:type="dxa" w:w="3331"/>
            <w:tcMar>
              <w:top w:w="100" w:type="dxa"/>
              <w:start w:w="120" w:type="dxa"/>
              <w:bottom w:w="100" w:type="dxa"/>
              <w:end w:w="120" w:type="dxa"/>
            </w:tcMar>
            <w:vAlign w:val="center"/>
          </w:tcPr>
          <w:p>
            <w:pPr>
              <w:spacing w:after="0" w:line="240" w:lineRule="auto"/>
            </w:pPr>
            <w:r>
              <w:rPr>
                <w:sz w:val="17"/>
              </w:rPr>
              <w:t>Missing or empty query</w:t>
            </w:r>
          </w:p>
        </w:tc>
        <w:tc>
          <w:tcPr>
            <w:tcW w:type="dxa" w:w="3331"/>
            <w:tcMar>
              <w:top w:w="100" w:type="dxa"/>
              <w:start w:w="120" w:type="dxa"/>
              <w:bottom w:w="100" w:type="dxa"/>
              <w:end w:w="120" w:type="dxa"/>
            </w:tcMar>
            <w:vAlign w:val="center"/>
          </w:tcPr>
          <w:p>
            <w:pPr>
              <w:spacing w:after="0" w:line="240" w:lineRule="auto"/>
            </w:pPr>
            <w:r>
              <w:rPr>
                <w:sz w:val="17"/>
              </w:rPr>
              <w:t>Error</w:t>
            </w:r>
          </w:p>
        </w:tc>
        <w:tc>
          <w:tcPr>
            <w:tcW w:type="dxa" w:w="3331"/>
            <w:tcMar>
              <w:top w:w="100" w:type="dxa"/>
              <w:start w:w="120" w:type="dxa"/>
              <w:bottom w:w="100" w:type="dxa"/>
              <w:end w:w="120" w:type="dxa"/>
            </w:tcMar>
            <w:vAlign w:val="center"/>
          </w:tcPr>
          <w:p>
            <w:pPr>
              <w:spacing w:after="0" w:line="240" w:lineRule="auto"/>
            </w:pPr>
            <w:r>
              <w:rPr>
                <w:sz w:val="17"/>
              </w:rPr>
              <w:t>Reject sample</w:t>
            </w:r>
          </w:p>
        </w:tc>
      </w:tr>
      <w:tr>
        <w:tc>
          <w:tcPr>
            <w:tcW w:type="dxa" w:w="3331"/>
            <w:tcMar>
              <w:top w:w="100" w:type="dxa"/>
              <w:start w:w="120" w:type="dxa"/>
              <w:bottom w:w="100" w:type="dxa"/>
              <w:end w:w="120" w:type="dxa"/>
            </w:tcMar>
            <w:vAlign w:val="center"/>
            <w:shd w:fill="F5F7F8"/>
          </w:tcPr>
          <w:p>
            <w:pPr>
              <w:spacing w:after="0" w:line="240" w:lineRule="auto"/>
            </w:pPr>
            <w:r>
              <w:rPr>
                <w:sz w:val="17"/>
              </w:rPr>
              <w:t>Duplicate sample ID with different content</w:t>
            </w:r>
          </w:p>
        </w:tc>
        <w:tc>
          <w:tcPr>
            <w:tcW w:type="dxa" w:w="3331"/>
            <w:tcMar>
              <w:top w:w="100" w:type="dxa"/>
              <w:start w:w="120" w:type="dxa"/>
              <w:bottom w:w="100" w:type="dxa"/>
              <w:end w:w="120" w:type="dxa"/>
            </w:tcMar>
            <w:vAlign w:val="center"/>
            <w:shd w:fill="F5F7F8"/>
          </w:tcPr>
          <w:p>
            <w:pPr>
              <w:spacing w:after="0" w:line="240" w:lineRule="auto"/>
            </w:pPr>
            <w:r>
              <w:rPr>
                <w:sz w:val="17"/>
              </w:rPr>
              <w:t>Error</w:t>
            </w:r>
          </w:p>
        </w:tc>
        <w:tc>
          <w:tcPr>
            <w:tcW w:type="dxa" w:w="3331"/>
            <w:tcMar>
              <w:top w:w="100" w:type="dxa"/>
              <w:start w:w="120" w:type="dxa"/>
              <w:bottom w:w="100" w:type="dxa"/>
              <w:end w:w="120" w:type="dxa"/>
            </w:tcMar>
            <w:vAlign w:val="center"/>
            <w:shd w:fill="F5F7F8"/>
          </w:tcPr>
          <w:p>
            <w:pPr>
              <w:spacing w:after="0" w:line="240" w:lineRule="auto"/>
            </w:pPr>
            <w:r>
              <w:rPr>
                <w:sz w:val="17"/>
              </w:rPr>
              <w:t>Reject dataset</w:t>
            </w:r>
          </w:p>
        </w:tc>
      </w:tr>
      <w:tr>
        <w:tc>
          <w:tcPr>
            <w:tcW w:type="dxa" w:w="3331"/>
            <w:tcMar>
              <w:top w:w="100" w:type="dxa"/>
              <w:start w:w="120" w:type="dxa"/>
              <w:bottom w:w="100" w:type="dxa"/>
              <w:end w:w="120" w:type="dxa"/>
            </w:tcMar>
            <w:vAlign w:val="center"/>
          </w:tcPr>
          <w:p>
            <w:pPr>
              <w:spacing w:after="0" w:line="240" w:lineRule="auto"/>
            </w:pPr>
            <w:r>
              <w:rPr>
                <w:sz w:val="17"/>
              </w:rPr>
              <w:t>Exact semantic duplicate with different IDs</w:t>
            </w:r>
          </w:p>
        </w:tc>
        <w:tc>
          <w:tcPr>
            <w:tcW w:type="dxa" w:w="3331"/>
            <w:tcMar>
              <w:top w:w="100" w:type="dxa"/>
              <w:start w:w="120" w:type="dxa"/>
              <w:bottom w:w="100" w:type="dxa"/>
              <w:end w:w="120" w:type="dxa"/>
            </w:tcMar>
            <w:vAlign w:val="center"/>
          </w:tcPr>
          <w:p>
            <w:pPr>
              <w:spacing w:after="0" w:line="240" w:lineRule="auto"/>
            </w:pPr>
            <w:r>
              <w:rPr>
                <w:sz w:val="17"/>
              </w:rPr>
              <w:t>Warning or error by policy</w:t>
            </w:r>
          </w:p>
        </w:tc>
        <w:tc>
          <w:tcPr>
            <w:tcW w:type="dxa" w:w="3331"/>
            <w:tcMar>
              <w:top w:w="100" w:type="dxa"/>
              <w:start w:w="120" w:type="dxa"/>
              <w:bottom w:w="100" w:type="dxa"/>
              <w:end w:w="120" w:type="dxa"/>
            </w:tcMar>
            <w:vAlign w:val="center"/>
          </w:tcPr>
          <w:p>
            <w:pPr>
              <w:spacing w:after="0" w:line="240" w:lineRule="auto"/>
            </w:pPr>
            <w:r>
              <w:rPr>
                <w:sz w:val="17"/>
              </w:rPr>
              <w:t>Deduplicate or preserve with explanation</w:t>
            </w:r>
          </w:p>
        </w:tc>
      </w:tr>
      <w:tr>
        <w:tc>
          <w:tcPr>
            <w:tcW w:type="dxa" w:w="3331"/>
            <w:tcMar>
              <w:top w:w="100" w:type="dxa"/>
              <w:start w:w="120" w:type="dxa"/>
              <w:bottom w:w="100" w:type="dxa"/>
              <w:end w:w="120" w:type="dxa"/>
            </w:tcMar>
            <w:vAlign w:val="center"/>
            <w:shd w:fill="F5F7F8"/>
          </w:tcPr>
          <w:p>
            <w:pPr>
              <w:spacing w:after="0" w:line="240" w:lineRule="auto"/>
            </w:pPr>
            <w:r>
              <w:rPr>
                <w:sz w:val="17"/>
              </w:rPr>
              <w:t>Missing ground truth required by selected evaluator</w:t>
            </w:r>
          </w:p>
        </w:tc>
        <w:tc>
          <w:tcPr>
            <w:tcW w:type="dxa" w:w="3331"/>
            <w:tcMar>
              <w:top w:w="100" w:type="dxa"/>
              <w:start w:w="120" w:type="dxa"/>
              <w:bottom w:w="100" w:type="dxa"/>
              <w:end w:w="120" w:type="dxa"/>
            </w:tcMar>
            <w:vAlign w:val="center"/>
            <w:shd w:fill="F5F7F8"/>
          </w:tcPr>
          <w:p>
            <w:pPr>
              <w:spacing w:after="0" w:line="240" w:lineRule="auto"/>
            </w:pPr>
            <w:r>
              <w:rPr>
                <w:sz w:val="17"/>
              </w:rPr>
              <w:t>Error before study starts</w:t>
            </w:r>
          </w:p>
        </w:tc>
        <w:tc>
          <w:tcPr>
            <w:tcW w:type="dxa" w:w="3331"/>
            <w:tcMar>
              <w:top w:w="100" w:type="dxa"/>
              <w:start w:w="120" w:type="dxa"/>
              <w:bottom w:w="100" w:type="dxa"/>
              <w:end w:w="120" w:type="dxa"/>
            </w:tcMar>
            <w:vAlign w:val="center"/>
            <w:shd w:fill="F5F7F8"/>
          </w:tcPr>
          <w:p>
            <w:pPr>
              <w:spacing w:after="0" w:line="240" w:lineRule="auto"/>
            </w:pPr>
            <w:r>
              <w:rPr>
                <w:sz w:val="17"/>
              </w:rPr>
              <w:t>Identify evaluator and affected count</w:t>
            </w:r>
          </w:p>
        </w:tc>
      </w:tr>
      <w:tr>
        <w:tc>
          <w:tcPr>
            <w:tcW w:type="dxa" w:w="3331"/>
            <w:tcMar>
              <w:top w:w="100" w:type="dxa"/>
              <w:start w:w="120" w:type="dxa"/>
              <w:bottom w:w="100" w:type="dxa"/>
              <w:end w:w="120" w:type="dxa"/>
            </w:tcMar>
            <w:vAlign w:val="center"/>
          </w:tcPr>
          <w:p>
            <w:pPr>
              <w:spacing w:after="0" w:line="240" w:lineRule="auto"/>
            </w:pPr>
            <w:r>
              <w:rPr>
                <w:sz w:val="17"/>
              </w:rPr>
              <w:t>Non-JSON metadata value</w:t>
            </w:r>
          </w:p>
        </w:tc>
        <w:tc>
          <w:tcPr>
            <w:tcW w:type="dxa" w:w="3331"/>
            <w:tcMar>
              <w:top w:w="100" w:type="dxa"/>
              <w:start w:w="120" w:type="dxa"/>
              <w:bottom w:w="100" w:type="dxa"/>
              <w:end w:w="120" w:type="dxa"/>
            </w:tcMar>
            <w:vAlign w:val="center"/>
          </w:tcPr>
          <w:p>
            <w:pPr>
              <w:spacing w:after="0" w:line="240" w:lineRule="auto"/>
            </w:pPr>
            <w:r>
              <w:rPr>
                <w:sz w:val="17"/>
              </w:rPr>
              <w:t>Error</w:t>
            </w:r>
          </w:p>
        </w:tc>
        <w:tc>
          <w:tcPr>
            <w:tcW w:type="dxa" w:w="3331"/>
            <w:tcMar>
              <w:top w:w="100" w:type="dxa"/>
              <w:start w:w="120" w:type="dxa"/>
              <w:bottom w:w="100" w:type="dxa"/>
              <w:end w:w="120" w:type="dxa"/>
            </w:tcMar>
            <w:vAlign w:val="center"/>
          </w:tcPr>
          <w:p>
            <w:pPr>
              <w:spacing w:after="0" w:line="240" w:lineRule="auto"/>
            </w:pPr>
            <w:r>
              <w:rPr>
                <w:sz w:val="17"/>
              </w:rPr>
              <w:t>Show field path and type</w:t>
            </w:r>
          </w:p>
        </w:tc>
      </w:tr>
      <w:tr>
        <w:tc>
          <w:tcPr>
            <w:tcW w:type="dxa" w:w="3331"/>
            <w:tcMar>
              <w:top w:w="100" w:type="dxa"/>
              <w:start w:w="120" w:type="dxa"/>
              <w:bottom w:w="100" w:type="dxa"/>
              <w:end w:w="120" w:type="dxa"/>
            </w:tcMar>
            <w:vAlign w:val="center"/>
            <w:shd w:fill="F5F7F8"/>
          </w:tcPr>
          <w:p>
            <w:pPr>
              <w:spacing w:after="0" w:line="240" w:lineRule="auto"/>
            </w:pPr>
            <w:r>
              <w:rPr>
                <w:sz w:val="17"/>
              </w:rPr>
              <w:t>Oversized metadata or text</w:t>
            </w:r>
          </w:p>
        </w:tc>
        <w:tc>
          <w:tcPr>
            <w:tcW w:type="dxa" w:w="3331"/>
            <w:tcMar>
              <w:top w:w="100" w:type="dxa"/>
              <w:start w:w="120" w:type="dxa"/>
              <w:bottom w:w="100" w:type="dxa"/>
              <w:end w:w="120" w:type="dxa"/>
            </w:tcMar>
            <w:vAlign w:val="center"/>
            <w:shd w:fill="F5F7F8"/>
          </w:tcPr>
          <w:p>
            <w:pPr>
              <w:spacing w:after="0" w:line="240" w:lineRule="auto"/>
            </w:pPr>
            <w:r>
              <w:rPr>
                <w:sz w:val="17"/>
              </w:rPr>
              <w:t>Error or truncation only by explicit policy</w:t>
            </w:r>
          </w:p>
        </w:tc>
        <w:tc>
          <w:tcPr>
            <w:tcW w:type="dxa" w:w="3331"/>
            <w:tcMar>
              <w:top w:w="100" w:type="dxa"/>
              <w:start w:w="120" w:type="dxa"/>
              <w:bottom w:w="100" w:type="dxa"/>
              <w:end w:w="120" w:type="dxa"/>
            </w:tcMar>
            <w:vAlign w:val="center"/>
            <w:shd w:fill="F5F7F8"/>
          </w:tcPr>
          <w:p>
            <w:pPr>
              <w:spacing w:after="0" w:line="240" w:lineRule="auto"/>
            </w:pPr>
            <w:r>
              <w:rPr>
                <w:sz w:val="17"/>
              </w:rPr>
              <w:t>Never silently truncate ground truth</w:t>
            </w:r>
          </w:p>
        </w:tc>
      </w:tr>
      <w:tr>
        <w:tc>
          <w:tcPr>
            <w:tcW w:type="dxa" w:w="3331"/>
            <w:tcMar>
              <w:top w:w="100" w:type="dxa"/>
              <w:start w:w="120" w:type="dxa"/>
              <w:bottom w:w="100" w:type="dxa"/>
              <w:end w:w="120" w:type="dxa"/>
            </w:tcMar>
            <w:vAlign w:val="center"/>
          </w:tcPr>
          <w:p>
            <w:pPr>
              <w:spacing w:after="0" w:line="240" w:lineRule="auto"/>
            </w:pPr>
            <w:r>
              <w:rPr>
                <w:sz w:val="17"/>
              </w:rPr>
              <w:t>Unknown split label</w:t>
            </w:r>
          </w:p>
        </w:tc>
        <w:tc>
          <w:tcPr>
            <w:tcW w:type="dxa" w:w="3331"/>
            <w:tcMar>
              <w:top w:w="100" w:type="dxa"/>
              <w:start w:w="120" w:type="dxa"/>
              <w:bottom w:w="100" w:type="dxa"/>
              <w:end w:w="120" w:type="dxa"/>
            </w:tcMar>
            <w:vAlign w:val="center"/>
          </w:tcPr>
          <w:p>
            <w:pPr>
              <w:spacing w:after="0" w:line="240" w:lineRule="auto"/>
            </w:pPr>
            <w:r>
              <w:rPr>
                <w:sz w:val="17"/>
              </w:rPr>
              <w:t>Error</w:t>
            </w:r>
          </w:p>
        </w:tc>
        <w:tc>
          <w:tcPr>
            <w:tcW w:type="dxa" w:w="3331"/>
            <w:tcMar>
              <w:top w:w="100" w:type="dxa"/>
              <w:start w:w="120" w:type="dxa"/>
              <w:bottom w:w="100" w:type="dxa"/>
              <w:end w:w="120" w:type="dxa"/>
            </w:tcMar>
            <w:vAlign w:val="center"/>
          </w:tcPr>
          <w:p>
            <w:pPr>
              <w:spacing w:after="0" w:line="240" w:lineRule="auto"/>
            </w:pPr>
            <w:r>
              <w:rPr>
                <w:sz w:val="17"/>
              </w:rPr>
              <w:t>List accepted labels</w:t>
            </w:r>
          </w:p>
        </w:tc>
      </w:tr>
      <w:tr>
        <w:tc>
          <w:tcPr>
            <w:tcW w:type="dxa" w:w="3331"/>
            <w:tcMar>
              <w:top w:w="100" w:type="dxa"/>
              <w:start w:w="120" w:type="dxa"/>
              <w:bottom w:w="100" w:type="dxa"/>
              <w:end w:w="120" w:type="dxa"/>
            </w:tcMar>
            <w:vAlign w:val="center"/>
            <w:shd w:fill="F5F7F8"/>
          </w:tcPr>
          <w:p>
            <w:pPr>
              <w:spacing w:after="0" w:line="240" w:lineRule="auto"/>
            </w:pPr>
            <w:r>
              <w:rPr>
                <w:sz w:val="17"/>
              </w:rPr>
              <w:t>Reference context absent from document corpus</w:t>
            </w:r>
          </w:p>
        </w:tc>
        <w:tc>
          <w:tcPr>
            <w:tcW w:type="dxa" w:w="3331"/>
            <w:tcMar>
              <w:top w:w="100" w:type="dxa"/>
              <w:start w:w="120" w:type="dxa"/>
              <w:bottom w:w="100" w:type="dxa"/>
              <w:end w:w="120" w:type="dxa"/>
            </w:tcMar>
            <w:vAlign w:val="center"/>
            <w:shd w:fill="F5F7F8"/>
          </w:tcPr>
          <w:p>
            <w:pPr>
              <w:spacing w:after="0" w:line="240" w:lineRule="auto"/>
            </w:pPr>
            <w:r>
              <w:rPr>
                <w:sz w:val="17"/>
              </w:rPr>
              <w:t>Warning</w:t>
            </w:r>
          </w:p>
        </w:tc>
        <w:tc>
          <w:tcPr>
            <w:tcW w:type="dxa" w:w="3331"/>
            <w:tcMar>
              <w:top w:w="100" w:type="dxa"/>
              <w:start w:w="120" w:type="dxa"/>
              <w:bottom w:w="100" w:type="dxa"/>
              <w:end w:w="120" w:type="dxa"/>
            </w:tcMar>
            <w:vAlign w:val="center"/>
            <w:shd w:fill="F5F7F8"/>
          </w:tcPr>
          <w:p>
            <w:pPr>
              <w:spacing w:after="0" w:line="240" w:lineRule="auto"/>
            </w:pPr>
            <w:r>
              <w:rPr>
                <w:sz w:val="17"/>
              </w:rPr>
              <w:t>Retrieval evaluation may still be valid with document IDs</w:t>
            </w:r>
          </w:p>
        </w:tc>
      </w:tr>
    </w:tbl>
    <w:p>
      <w:pPr>
        <w:spacing w:after="20"/>
      </w:pPr>
    </w:p>
    <w:p>
      <w:r>
        <w:t>Validation returns a report containing counts, field coverage, duplicate groups, evaluator compatibility, and redacted examples. A validated dataset is immutable.</w:t>
      </w:r>
    </w:p>
    <w:p>
      <w:pPr>
        <w:pStyle w:val="Heading1"/>
      </w:pPr>
      <w:r>
        <w:t>Document processing for synthetic generation</w:t>
      </w:r>
    </w:p>
    <w:p>
      <w:r>
        <w:t>Synthetic generation is a convenience for teams without a benchmark. It is not presented as unbiased ground truth. Generated samples carry model, prompt, generator version, source chunk IDs, random seed, and review status.</w:t>
      </w:r>
    </w:p>
    <w:p>
      <w:pPr>
        <w:pStyle w:val="Heading2"/>
      </w:pPr>
      <w:r>
        <w:t>Processing stages</w:t>
      </w:r>
    </w:p>
    <w:p>
      <w:pPr>
        <w:spacing w:after="50" w:line="269" w:lineRule="auto"/>
        <w:ind w:left="115"/>
      </w:pPr>
      <w:r>
        <w:t xml:space="preserve">1. </w:t>
      </w:r>
      <w:r>
        <w:t>Extract text with page or section provenance.</w:t>
      </w:r>
      <w:r>
        <w:br/>
      </w:r>
      <w:r>
        <w:t xml:space="preserve">2. </w:t>
      </w:r>
      <w:r>
        <w:t>Remove exact duplicate pages or blocks by normalized hash.</w:t>
      </w:r>
      <w:r>
        <w:br/>
      </w:r>
      <w:r>
        <w:t xml:space="preserve">3. </w:t>
      </w:r>
      <w:r>
        <w:t>Segment text into generation windows that preserve source references.</w:t>
      </w:r>
      <w:r>
        <w:br/>
      </w:r>
      <w:r>
        <w:t xml:space="preserve">4. </w:t>
      </w:r>
      <w:r>
        <w:t>Apply optional filters for minimum text length, language, and access class.</w:t>
      </w:r>
      <w:r>
        <w:br/>
      </w:r>
      <w:r>
        <w:t xml:space="preserve">5. </w:t>
      </w:r>
      <w:r>
        <w:t>Ask the generator for structured questions, reference answers, supporting spans, and difficulty or topic tags.</w:t>
      </w:r>
      <w:r>
        <w:br/>
      </w:r>
      <w:r>
        <w:t xml:space="preserve">6. </w:t>
      </w:r>
      <w:r>
        <w:t>Validate that cited spans occur in the source window when extractive evidence is required.</w:t>
      </w:r>
      <w:r>
        <w:br/>
      </w:r>
      <w:r>
        <w:t xml:space="preserve">7. </w:t>
      </w:r>
      <w:r>
        <w:t>Deduplicate generated questions by exact normalized hash and optional semantic similarity.</w:t>
      </w:r>
      <w:r>
        <w:br/>
      </w:r>
      <w:r>
        <w:t xml:space="preserve">8. </w:t>
      </w:r>
      <w:r>
        <w:t>Assign confidence and review status.</w:t>
      </w:r>
      <w:r>
        <w:br/>
      </w:r>
      <w:r>
        <w:t xml:space="preserve">9. </w:t>
      </w:r>
      <w:r>
        <w:t>Create deterministic splits only after the final accepted sample set is fixed.</w:t>
      </w:r>
    </w:p>
    <w:p>
      <w:pPr>
        <w:spacing w:before="80" w:after="140" w:line="240" w:lineRule="auto"/>
        <w:ind w:left="360" w:right="216"/>
      </w:pPr>
      <w:r>
        <w:rPr>
          <w:rFonts w:ascii="Cascadia Mono" w:hAnsi="Cascadia Mono"/>
          <w:sz w:val="17"/>
        </w:rPr>
        <w:t>dataset = await SyntheticDatasetGenerator(</w:t>
        <w:br/>
      </w:r>
      <w:r>
        <w:rPr>
          <w:rFonts w:ascii="Cascadia Mono" w:hAnsi="Cascadia Mono"/>
          <w:sz w:val="17"/>
        </w:rPr>
        <w:t xml:space="preserve">    client=generator_client,</w:t>
        <w:br/>
      </w:r>
      <w:r>
        <w:rPr>
          <w:rFonts w:ascii="Cascadia Mono" w:hAnsi="Cascadia Mono"/>
          <w:sz w:val="17"/>
        </w:rPr>
        <w:t xml:space="preserve">    questions_per_window=3,</w:t>
        <w:br/>
      </w:r>
      <w:r>
        <w:rPr>
          <w:rFonts w:ascii="Cascadia Mono" w:hAnsi="Cascadia Mono"/>
          <w:sz w:val="17"/>
        </w:rPr>
        <w:t xml:space="preserve">    require_supporting_spans=True,</w:t>
        <w:br/>
      </w:r>
      <w:r>
        <w:rPr>
          <w:rFonts w:ascii="Cascadia Mono" w:hAnsi="Cascadia Mono"/>
          <w:sz w:val="17"/>
        </w:rPr>
        <w:t xml:space="preserve">    seed=42,</w:t>
        <w:br/>
      </w:r>
      <w:r>
        <w:rPr>
          <w:rFonts w:ascii="Cascadia Mono" w:hAnsi="Cascadia Mono"/>
          <w:sz w:val="17"/>
        </w:rPr>
        <w:t>).afrom_documents(documents)</w:t>
      </w:r>
    </w:p>
    <w:p>
      <w:pPr>
        <w:pStyle w:val="Heading2"/>
      </w:pPr>
      <w:r>
        <w:t>Synthetic quality controls</w:t>
      </w:r>
    </w:p>
    <w:p>
      <w:pPr>
        <w:pStyle w:val="ListBullet"/>
      </w:pPr>
      <w:r>
        <w:t>Reject questions answerable without the source when the requested profile is source-grounded.</w:t>
      </w:r>
    </w:p>
    <w:p>
      <w:pPr>
        <w:pStyle w:val="ListBullet"/>
      </w:pPr>
      <w:r>
        <w:t>Reject answers unsupported by cited spans.</w:t>
      </w:r>
    </w:p>
    <w:p>
      <w:pPr>
        <w:pStyle w:val="ListBullet"/>
      </w:pPr>
      <w:r>
        <w:t>Limit near-duplicate questions across overlapping windows.</w:t>
      </w:r>
    </w:p>
    <w:p>
      <w:pPr>
        <w:pStyle w:val="ListBullet"/>
      </w:pPr>
      <w:r>
        <w:t>Record generation failures rather than silently reducing requested coverage.</w:t>
      </w:r>
    </w:p>
    <w:p>
      <w:pPr>
        <w:pStyle w:val="ListBullet"/>
      </w:pPr>
      <w:r>
        <w:t>Support a human-review export with source excerpts and approval fields.</w:t>
      </w:r>
    </w:p>
    <w:p>
      <w:pPr>
        <w:pStyle w:val="ListBullet"/>
      </w:pPr>
      <w:r>
        <w:t>Mark all generated samples as synthetic in provenance and reports.</w:t>
      </w:r>
    </w:p>
    <w:p>
      <w:pPr>
        <w:pStyle w:val="Heading1"/>
      </w:pPr>
      <w:r>
        <w:t>Splitting</w:t>
      </w:r>
    </w:p>
    <w:p>
      <w:r>
        <w:t xml:space="preserve">The canonical split names are </w:t>
      </w:r>
      <w:r>
        <w:rPr>
          <w:rFonts w:ascii="Cascadia Mono" w:hAnsi="Cascadia Mono"/>
          <w:sz w:val="18"/>
        </w:rPr>
        <w:t>optimize</w:t>
      </w:r>
      <w:r>
        <w:t xml:space="preserve">, </w:t>
      </w:r>
      <w:r>
        <w:rPr>
          <w:rFonts w:ascii="Cascadia Mono" w:hAnsi="Cascadia Mono"/>
          <w:sz w:val="18"/>
        </w:rPr>
        <w:t>validation</w:t>
      </w:r>
      <w:r>
        <w:t xml:space="preserve">, and </w:t>
      </w:r>
      <w:r>
        <w:rPr>
          <w:rFonts w:ascii="Cascadia Mono" w:hAnsi="Cascadia Mono"/>
          <w:sz w:val="18"/>
        </w:rPr>
        <w:t>test</w:t>
      </w:r>
      <w:r>
        <w:t>. Optimization metrics guide strategy suggestions. Validation metrics select the reported best configuration. Test metrics are computed once for the selected configuration by default and are never fed back to the strategy.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Split</w:t>
            </w:r>
          </w:p>
        </w:tc>
        <w:tc>
          <w:tcPr>
            <w:tcW w:type="dxa" w:w="2498"/>
            <w:shd w:fill="17324D"/>
            <w:tcMar>
              <w:top w:w="115" w:type="dxa"/>
              <w:start w:w="120" w:type="dxa"/>
              <w:bottom w:w="115" w:type="dxa"/>
              <w:end w:w="120" w:type="dxa"/>
            </w:tcMar>
            <w:vAlign w:val="center"/>
          </w:tcPr>
          <w:p>
            <w:r>
              <w:rPr>
                <w:b/>
                <w:color w:val="FFFFFF"/>
                <w:sz w:val="18"/>
              </w:rPr>
              <w:t>Default share</w:t>
            </w:r>
          </w:p>
        </w:tc>
        <w:tc>
          <w:tcPr>
            <w:tcW w:type="dxa" w:w="2498"/>
            <w:shd w:fill="17324D"/>
            <w:tcMar>
              <w:top w:w="115" w:type="dxa"/>
              <w:start w:w="120" w:type="dxa"/>
              <w:bottom w:w="115" w:type="dxa"/>
              <w:end w:w="120" w:type="dxa"/>
            </w:tcMar>
            <w:vAlign w:val="center"/>
          </w:tcPr>
          <w:p>
            <w:r>
              <w:rPr>
                <w:b/>
                <w:color w:val="FFFFFF"/>
                <w:sz w:val="18"/>
              </w:rPr>
              <w:t>Used by strategy</w:t>
            </w:r>
          </w:p>
        </w:tc>
        <w:tc>
          <w:tcPr>
            <w:tcW w:type="dxa" w:w="2498"/>
            <w:shd w:fill="17324D"/>
            <w:tcMar>
              <w:top w:w="115" w:type="dxa"/>
              <w:start w:w="120" w:type="dxa"/>
              <w:bottom w:w="115" w:type="dxa"/>
              <w:end w:w="120" w:type="dxa"/>
            </w:tcMar>
            <w:vAlign w:val="center"/>
          </w:tcPr>
          <w:p>
            <w:r>
              <w:rPr>
                <w:b/>
                <w:color w:val="FFFFFF"/>
                <w:sz w:val="18"/>
              </w:rPr>
              <w:t>Used for final selection</w:t>
            </w:r>
          </w:p>
        </w:tc>
      </w:tr>
      <w:tr>
        <w:tc>
          <w:tcPr>
            <w:tcW w:type="dxa" w:w="2498"/>
            <w:tcMar>
              <w:top w:w="100" w:type="dxa"/>
              <w:start w:w="120" w:type="dxa"/>
              <w:bottom w:w="100" w:type="dxa"/>
              <w:end w:w="120" w:type="dxa"/>
            </w:tcMar>
            <w:vAlign w:val="center"/>
          </w:tcPr>
          <w:p>
            <w:pPr>
              <w:spacing w:after="0" w:line="240" w:lineRule="auto"/>
            </w:pPr>
            <w:r>
              <w:rPr>
                <w:sz w:val="17"/>
              </w:rPr>
              <w:t>Optimize</w:t>
            </w:r>
          </w:p>
        </w:tc>
        <w:tc>
          <w:tcPr>
            <w:tcW w:type="dxa" w:w="2498"/>
            <w:tcMar>
              <w:top w:w="100" w:type="dxa"/>
              <w:start w:w="120" w:type="dxa"/>
              <w:bottom w:w="100" w:type="dxa"/>
              <w:end w:w="120" w:type="dxa"/>
            </w:tcMar>
            <w:vAlign w:val="center"/>
          </w:tcPr>
          <w:p>
            <w:pPr>
              <w:spacing w:after="0" w:line="240" w:lineRule="auto"/>
            </w:pPr>
            <w:r>
              <w:rPr>
                <w:sz w:val="17"/>
              </w:rPr>
              <w:t>60 percent</w:t>
            </w:r>
          </w:p>
        </w:tc>
        <w:tc>
          <w:tcPr>
            <w:tcW w:type="dxa" w:w="2498"/>
            <w:tcMar>
              <w:top w:w="100" w:type="dxa"/>
              <w:start w:w="120" w:type="dxa"/>
              <w:bottom w:w="100" w:type="dxa"/>
              <w:end w:w="120" w:type="dxa"/>
            </w:tcMar>
            <w:vAlign w:val="center"/>
          </w:tcPr>
          <w:p>
            <w:pPr>
              <w:spacing w:after="0" w:line="240" w:lineRule="auto"/>
            </w:pPr>
            <w:r>
              <w:rPr>
                <w:sz w:val="17"/>
              </w:rPr>
              <w:t>Yes</w:t>
            </w:r>
          </w:p>
        </w:tc>
        <w:tc>
          <w:tcPr>
            <w:tcW w:type="dxa" w:w="2498"/>
            <w:tcMar>
              <w:top w:w="100" w:type="dxa"/>
              <w:start w:w="120" w:type="dxa"/>
              <w:bottom w:w="100" w:type="dxa"/>
              <w:end w:w="120" w:type="dxa"/>
            </w:tcMar>
            <w:vAlign w:val="center"/>
          </w:tcPr>
          <w:p>
            <w:pPr>
              <w:spacing w:after="0" w:line="240" w:lineRule="auto"/>
            </w:pPr>
            <w:r>
              <w:rPr>
                <w:sz w:val="17"/>
              </w:rPr>
              <w:t>No</w:t>
            </w:r>
          </w:p>
        </w:tc>
      </w:tr>
      <w:tr>
        <w:tc>
          <w:tcPr>
            <w:tcW w:type="dxa" w:w="2498"/>
            <w:tcMar>
              <w:top w:w="100" w:type="dxa"/>
              <w:start w:w="120" w:type="dxa"/>
              <w:bottom w:w="100" w:type="dxa"/>
              <w:end w:w="120" w:type="dxa"/>
            </w:tcMar>
            <w:vAlign w:val="center"/>
            <w:shd w:fill="F5F7F8"/>
          </w:tcPr>
          <w:p>
            <w:pPr>
              <w:spacing w:after="0" w:line="240" w:lineRule="auto"/>
            </w:pPr>
            <w:r>
              <w:rPr>
                <w:sz w:val="17"/>
              </w:rPr>
              <w:t>Validation</w:t>
            </w:r>
          </w:p>
        </w:tc>
        <w:tc>
          <w:tcPr>
            <w:tcW w:type="dxa" w:w="2498"/>
            <w:tcMar>
              <w:top w:w="100" w:type="dxa"/>
              <w:start w:w="120" w:type="dxa"/>
              <w:bottom w:w="100" w:type="dxa"/>
              <w:end w:w="120" w:type="dxa"/>
            </w:tcMar>
            <w:vAlign w:val="center"/>
            <w:shd w:fill="F5F7F8"/>
          </w:tcPr>
          <w:p>
            <w:pPr>
              <w:spacing w:after="0" w:line="240" w:lineRule="auto"/>
            </w:pPr>
            <w:r>
              <w:rPr>
                <w:sz w:val="17"/>
              </w:rPr>
              <w:t>20 percent</w:t>
            </w:r>
          </w:p>
        </w:tc>
        <w:tc>
          <w:tcPr>
            <w:tcW w:type="dxa" w:w="2498"/>
            <w:tcMar>
              <w:top w:w="100" w:type="dxa"/>
              <w:start w:w="120" w:type="dxa"/>
              <w:bottom w:w="100" w:type="dxa"/>
              <w:end w:w="120" w:type="dxa"/>
            </w:tcMar>
            <w:vAlign w:val="center"/>
            <w:shd w:fill="F5F7F8"/>
          </w:tcPr>
          <w:p>
            <w:pPr>
              <w:spacing w:after="0" w:line="240" w:lineRule="auto"/>
            </w:pPr>
            <w:r>
              <w:rPr>
                <w:sz w:val="17"/>
              </w:rPr>
              <w:t>No direct per-sample feedback</w:t>
            </w:r>
          </w:p>
        </w:tc>
        <w:tc>
          <w:tcPr>
            <w:tcW w:type="dxa" w:w="2498"/>
            <w:tcMar>
              <w:top w:w="100" w:type="dxa"/>
              <w:start w:w="120" w:type="dxa"/>
              <w:bottom w:w="100" w:type="dxa"/>
              <w:end w:w="120" w:type="dxa"/>
            </w:tcMar>
            <w:vAlign w:val="center"/>
            <w:shd w:fill="F5F7F8"/>
          </w:tcPr>
          <w:p>
            <w:pPr>
              <w:spacing w:after="0" w:line="240" w:lineRule="auto"/>
            </w:pPr>
            <w:r>
              <w:rPr>
                <w:sz w:val="17"/>
              </w:rPr>
              <w:t>Yes</w:t>
            </w:r>
          </w:p>
        </w:tc>
      </w:tr>
      <w:tr>
        <w:tc>
          <w:tcPr>
            <w:tcW w:type="dxa" w:w="2498"/>
            <w:tcMar>
              <w:top w:w="100" w:type="dxa"/>
              <w:start w:w="120" w:type="dxa"/>
              <w:bottom w:w="100" w:type="dxa"/>
              <w:end w:w="120" w:type="dxa"/>
            </w:tcMar>
            <w:vAlign w:val="center"/>
          </w:tcPr>
          <w:p>
            <w:pPr>
              <w:spacing w:after="0" w:line="240" w:lineRule="auto"/>
            </w:pPr>
            <w:r>
              <w:rPr>
                <w:sz w:val="17"/>
              </w:rPr>
              <w:t>Test</w:t>
            </w:r>
          </w:p>
        </w:tc>
        <w:tc>
          <w:tcPr>
            <w:tcW w:type="dxa" w:w="2498"/>
            <w:tcMar>
              <w:top w:w="100" w:type="dxa"/>
              <w:start w:w="120" w:type="dxa"/>
              <w:bottom w:w="100" w:type="dxa"/>
              <w:end w:w="120" w:type="dxa"/>
            </w:tcMar>
            <w:vAlign w:val="center"/>
          </w:tcPr>
          <w:p>
            <w:pPr>
              <w:spacing w:after="0" w:line="240" w:lineRule="auto"/>
            </w:pPr>
            <w:r>
              <w:rPr>
                <w:sz w:val="17"/>
              </w:rPr>
              <w:t>20 percent</w:t>
            </w:r>
          </w:p>
        </w:tc>
        <w:tc>
          <w:tcPr>
            <w:tcW w:type="dxa" w:w="2498"/>
            <w:tcMar>
              <w:top w:w="100" w:type="dxa"/>
              <w:start w:w="120" w:type="dxa"/>
              <w:bottom w:w="100" w:type="dxa"/>
              <w:end w:w="120" w:type="dxa"/>
            </w:tcMar>
            <w:vAlign w:val="center"/>
          </w:tcPr>
          <w:p>
            <w:pPr>
              <w:spacing w:after="0" w:line="240" w:lineRule="auto"/>
            </w:pPr>
            <w:r>
              <w:rPr>
                <w:sz w:val="17"/>
              </w:rPr>
              <w:t>No</w:t>
            </w:r>
          </w:p>
        </w:tc>
        <w:tc>
          <w:tcPr>
            <w:tcW w:type="dxa" w:w="2498"/>
            <w:tcMar>
              <w:top w:w="100" w:type="dxa"/>
              <w:start w:w="120" w:type="dxa"/>
              <w:bottom w:w="100" w:type="dxa"/>
              <w:end w:w="120" w:type="dxa"/>
            </w:tcMar>
            <w:vAlign w:val="center"/>
          </w:tcPr>
          <w:p>
            <w:pPr>
              <w:spacing w:after="0" w:line="240" w:lineRule="auto"/>
            </w:pPr>
            <w:r>
              <w:rPr>
                <w:sz w:val="17"/>
              </w:rPr>
              <w:t>Final unbiased report only</w:t>
            </w:r>
          </w:p>
        </w:tc>
      </w:tr>
    </w:tbl>
    <w:p>
      <w:pPr>
        <w:spacing w:after="20"/>
      </w:pPr>
    </w:p>
    <w:p>
      <w:r>
        <w:t>Split assignment is deterministic from seed, stable sample identity, and optional group key. Grouped splitting keeps related queries, source documents, customers, or conversation threads in one split. Stratification may preserve tag or class distributions. When constraints conflict, validation fails with an explanation rather than leaking groups across splits.</w:t>
      </w:r>
    </w:p>
    <w:p>
      <w:r>
        <w:t>Small datasets require explicit acknowledgment when a split would contain too few samples. K-fold evaluation is later work.</w:t>
      </w:r>
    </w:p>
    <w:p>
      <w:pPr>
        <w:pStyle w:val="Heading1"/>
      </w:pPr>
      <w:r>
        <w:t>Hashing and identity</w:t>
      </w:r>
    </w:p>
    <w:p>
      <w:r>
        <w:t>The package uses SHA-256 with domain-separated canonical serialization. Hashes are identifiers for reproducibility and cache matching, not proof of authorship.</w:t>
      </w:r>
    </w:p>
    <w:p>
      <w:pPr>
        <w:spacing w:before="80" w:after="140" w:line="240" w:lineRule="auto"/>
        <w:ind w:left="360" w:right="216"/>
      </w:pPr>
      <w:r>
        <w:rPr>
          <w:rFonts w:ascii="Cascadia Mono" w:hAnsi="Cascadia Mono"/>
          <w:sz w:val="17"/>
        </w:rPr>
        <w:t>dataset_hash = sha256(</w:t>
        <w:br/>
      </w:r>
      <w:r>
        <w:rPr>
          <w:rFonts w:ascii="Cascadia Mono" w:hAnsi="Cascadia Mono"/>
          <w:sz w:val="17"/>
        </w:rPr>
        <w:t xml:space="preserve">    "autorag-tuner:dataset:v1\n" +</w:t>
        <w:br/>
      </w:r>
      <w:r>
        <w:rPr>
          <w:rFonts w:ascii="Cascadia Mono" w:hAnsi="Cascadia Mono"/>
          <w:sz w:val="17"/>
        </w:rPr>
        <w:t xml:space="preserve">    canonical_schema +</w:t>
        <w:br/>
      </w:r>
      <w:r>
        <w:rPr>
          <w:rFonts w:ascii="Cascadia Mono" w:hAnsi="Cascadia Mono"/>
          <w:sz w:val="17"/>
        </w:rPr>
        <w:t xml:space="preserve">    sorted(canonical_sample_records)</w:t>
        <w:br/>
      </w:r>
      <w:r>
        <w:rPr>
          <w:rFonts w:ascii="Cascadia Mono" w:hAnsi="Cascadia Mono"/>
          <w:sz w:val="17"/>
        </w:rPr>
        <w:t>)</w:t>
      </w:r>
    </w:p>
    <w:p>
      <w:r>
        <w:t>The dataset hash includes normalized query, ground truth, tags that affect evaluation, split assignment, and schema version. It excludes local file paths, ingestion time, and nonsemantic metadata unless configured as evaluation-relevant. A separate provenance hash can include source URIs and extractor details.</w:t>
      </w:r>
    </w:p>
    <w:p>
      <w:r>
        <w:t>Candidate, adapter, corpus, evaluator, objective, and prompt fingerprints form cache keys. Changing any semantic input invalidates the affected layer.</w:t>
      </w:r>
    </w:p>
    <w:p>
      <w:pPr>
        <w:pStyle w:val="Heading1"/>
      </w:pPr>
      <w:r>
        <w:t>Cacheable data products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Layer</w:t>
            </w:r>
          </w:p>
        </w:tc>
        <w:tc>
          <w:tcPr>
            <w:tcW w:type="dxa" w:w="2498"/>
            <w:shd w:fill="17324D"/>
            <w:tcMar>
              <w:top w:w="115" w:type="dxa"/>
              <w:start w:w="120" w:type="dxa"/>
              <w:bottom w:w="115" w:type="dxa"/>
              <w:end w:w="120" w:type="dxa"/>
            </w:tcMar>
            <w:vAlign w:val="center"/>
          </w:tcPr>
          <w:p>
            <w:r>
              <w:rPr>
                <w:b/>
                <w:color w:val="FFFFFF"/>
                <w:sz w:val="18"/>
              </w:rPr>
              <w:t>Key inputs</w:t>
            </w:r>
          </w:p>
        </w:tc>
        <w:tc>
          <w:tcPr>
            <w:tcW w:type="dxa" w:w="2498"/>
            <w:shd w:fill="17324D"/>
            <w:tcMar>
              <w:top w:w="115" w:type="dxa"/>
              <w:start w:w="120" w:type="dxa"/>
              <w:bottom w:w="115" w:type="dxa"/>
              <w:end w:w="120" w:type="dxa"/>
            </w:tcMar>
            <w:vAlign w:val="center"/>
          </w:tcPr>
          <w:p>
            <w:r>
              <w:rPr>
                <w:b/>
                <w:color w:val="FFFFFF"/>
                <w:sz w:val="18"/>
              </w:rPr>
              <w:t>Value</w:t>
            </w:r>
          </w:p>
        </w:tc>
        <w:tc>
          <w:tcPr>
            <w:tcW w:type="dxa" w:w="2498"/>
            <w:shd w:fill="17324D"/>
            <w:tcMar>
              <w:top w:w="115" w:type="dxa"/>
              <w:start w:w="120" w:type="dxa"/>
              <w:bottom w:w="115" w:type="dxa"/>
              <w:end w:w="120" w:type="dxa"/>
            </w:tcMar>
            <w:vAlign w:val="center"/>
          </w:tcPr>
          <w:p>
            <w:r>
              <w:rPr>
                <w:b/>
                <w:color w:val="FFFFFF"/>
                <w:sz w:val="18"/>
              </w:rPr>
              <w:t>Default eligibility</w:t>
            </w:r>
          </w:p>
        </w:tc>
      </w:tr>
      <w:tr>
        <w:tc>
          <w:tcPr>
            <w:tcW w:type="dxa" w:w="2498"/>
            <w:tcMar>
              <w:top w:w="100" w:type="dxa"/>
              <w:start w:w="120" w:type="dxa"/>
              <w:bottom w:w="100" w:type="dxa"/>
              <w:end w:w="120" w:type="dxa"/>
            </w:tcMar>
            <w:vAlign w:val="center"/>
          </w:tcPr>
          <w:p>
            <w:pPr>
              <w:spacing w:after="0" w:line="240" w:lineRule="auto"/>
            </w:pPr>
            <w:r>
              <w:rPr>
                <w:sz w:val="17"/>
              </w:rPr>
              <w:t>Extracted document</w:t>
            </w:r>
          </w:p>
        </w:tc>
        <w:tc>
          <w:tcPr>
            <w:tcW w:type="dxa" w:w="2498"/>
            <w:tcMar>
              <w:top w:w="100" w:type="dxa"/>
              <w:start w:w="120" w:type="dxa"/>
              <w:bottom w:w="100" w:type="dxa"/>
              <w:end w:w="120" w:type="dxa"/>
            </w:tcMar>
            <w:vAlign w:val="center"/>
          </w:tcPr>
          <w:p>
            <w:pPr>
              <w:spacing w:after="0" w:line="240" w:lineRule="auto"/>
            </w:pPr>
            <w:r>
              <w:rPr>
                <w:sz w:val="17"/>
              </w:rPr>
              <w:t>source byte hash and extractor version</w:t>
            </w:r>
          </w:p>
        </w:tc>
        <w:tc>
          <w:tcPr>
            <w:tcW w:type="dxa" w:w="2498"/>
            <w:tcMar>
              <w:top w:w="100" w:type="dxa"/>
              <w:start w:w="120" w:type="dxa"/>
              <w:bottom w:w="100" w:type="dxa"/>
              <w:end w:w="120" w:type="dxa"/>
            </w:tcMar>
            <w:vAlign w:val="center"/>
          </w:tcPr>
          <w:p>
            <w:pPr>
              <w:spacing w:after="0" w:line="240" w:lineRule="auto"/>
            </w:pPr>
            <w:r>
              <w:rPr>
                <w:sz w:val="17"/>
              </w:rPr>
              <w:t>normalized text and provenance</w:t>
            </w:r>
          </w:p>
        </w:tc>
        <w:tc>
          <w:tcPr>
            <w:tcW w:type="dxa" w:w="2498"/>
            <w:tcMar>
              <w:top w:w="100" w:type="dxa"/>
              <w:start w:w="120" w:type="dxa"/>
              <w:bottom w:w="100" w:type="dxa"/>
              <w:end w:w="120" w:type="dxa"/>
            </w:tcMar>
            <w:vAlign w:val="center"/>
          </w:tcPr>
          <w:p>
            <w:pPr>
              <w:spacing w:after="0" w:line="240" w:lineRule="auto"/>
            </w:pPr>
            <w:r>
              <w:rPr>
                <w:sz w:val="17"/>
              </w:rPr>
              <w:t>Yes</w:t>
            </w:r>
          </w:p>
        </w:tc>
      </w:tr>
      <w:tr>
        <w:tc>
          <w:tcPr>
            <w:tcW w:type="dxa" w:w="2498"/>
            <w:tcMar>
              <w:top w:w="100" w:type="dxa"/>
              <w:start w:w="120" w:type="dxa"/>
              <w:bottom w:w="100" w:type="dxa"/>
              <w:end w:w="120" w:type="dxa"/>
            </w:tcMar>
            <w:vAlign w:val="center"/>
            <w:shd w:fill="F5F7F8"/>
          </w:tcPr>
          <w:p>
            <w:pPr>
              <w:spacing w:after="0" w:line="240" w:lineRule="auto"/>
            </w:pPr>
            <w:r>
              <w:rPr>
                <w:sz w:val="17"/>
              </w:rPr>
              <w:t>Synthetic generation</w:t>
            </w:r>
          </w:p>
        </w:tc>
        <w:tc>
          <w:tcPr>
            <w:tcW w:type="dxa" w:w="2498"/>
            <w:tcMar>
              <w:top w:w="100" w:type="dxa"/>
              <w:start w:w="120" w:type="dxa"/>
              <w:bottom w:w="100" w:type="dxa"/>
              <w:end w:w="120" w:type="dxa"/>
            </w:tcMar>
            <w:vAlign w:val="center"/>
            <w:shd w:fill="F5F7F8"/>
          </w:tcPr>
          <w:p>
            <w:pPr>
              <w:spacing w:after="0" w:line="240" w:lineRule="auto"/>
            </w:pPr>
            <w:r>
              <w:rPr>
                <w:sz w:val="17"/>
              </w:rPr>
              <w:t>window hash, prompt, model, parameters</w:t>
            </w:r>
          </w:p>
        </w:tc>
        <w:tc>
          <w:tcPr>
            <w:tcW w:type="dxa" w:w="2498"/>
            <w:tcMar>
              <w:top w:w="100" w:type="dxa"/>
              <w:start w:w="120" w:type="dxa"/>
              <w:bottom w:w="100" w:type="dxa"/>
              <w:end w:w="120" w:type="dxa"/>
            </w:tcMar>
            <w:vAlign w:val="center"/>
            <w:shd w:fill="F5F7F8"/>
          </w:tcPr>
          <w:p>
            <w:pPr>
              <w:spacing w:after="0" w:line="240" w:lineRule="auto"/>
            </w:pPr>
            <w:r>
              <w:rPr>
                <w:sz w:val="17"/>
              </w:rPr>
              <w:t>generated samples and usage</w:t>
            </w:r>
          </w:p>
        </w:tc>
        <w:tc>
          <w:tcPr>
            <w:tcW w:type="dxa" w:w="2498"/>
            <w:tcMar>
              <w:top w:w="100" w:type="dxa"/>
              <w:start w:w="120" w:type="dxa"/>
              <w:bottom w:w="100" w:type="dxa"/>
              <w:end w:w="120" w:type="dxa"/>
            </w:tcMar>
            <w:vAlign w:val="center"/>
            <w:shd w:fill="F5F7F8"/>
          </w:tcPr>
          <w:p>
            <w:pPr>
              <w:spacing w:after="0" w:line="240" w:lineRule="auto"/>
            </w:pPr>
            <w:r>
              <w:rPr>
                <w:sz w:val="17"/>
              </w:rPr>
              <w:t>Opt-in due to sensitive content</w:t>
            </w:r>
          </w:p>
        </w:tc>
      </w:tr>
      <w:tr>
        <w:tc>
          <w:tcPr>
            <w:tcW w:type="dxa" w:w="2498"/>
            <w:tcMar>
              <w:top w:w="100" w:type="dxa"/>
              <w:start w:w="120" w:type="dxa"/>
              <w:bottom w:w="100" w:type="dxa"/>
              <w:end w:w="120" w:type="dxa"/>
            </w:tcMar>
            <w:vAlign w:val="center"/>
          </w:tcPr>
          <w:p>
            <w:pPr>
              <w:spacing w:after="0" w:line="240" w:lineRule="auto"/>
            </w:pPr>
            <w:r>
              <w:rPr>
                <w:sz w:val="17"/>
              </w:rPr>
              <w:t>Prepared corpus</w:t>
            </w:r>
          </w:p>
        </w:tc>
        <w:tc>
          <w:tcPr>
            <w:tcW w:type="dxa" w:w="2498"/>
            <w:tcMar>
              <w:top w:w="100" w:type="dxa"/>
              <w:start w:w="120" w:type="dxa"/>
              <w:bottom w:w="100" w:type="dxa"/>
              <w:end w:w="120" w:type="dxa"/>
            </w:tcMar>
            <w:vAlign w:val="center"/>
          </w:tcPr>
          <w:p>
            <w:pPr>
              <w:spacing w:after="0" w:line="240" w:lineRule="auto"/>
            </w:pPr>
            <w:r>
              <w:rPr>
                <w:sz w:val="17"/>
              </w:rPr>
              <w:t>corpus, adapter, relevant config subset</w:t>
            </w:r>
          </w:p>
        </w:tc>
        <w:tc>
          <w:tcPr>
            <w:tcW w:type="dxa" w:w="2498"/>
            <w:tcMar>
              <w:top w:w="100" w:type="dxa"/>
              <w:start w:w="120" w:type="dxa"/>
              <w:bottom w:w="100" w:type="dxa"/>
              <w:end w:w="120" w:type="dxa"/>
            </w:tcMar>
            <w:vAlign w:val="center"/>
          </w:tcPr>
          <w:p>
            <w:pPr>
              <w:spacing w:after="0" w:line="240" w:lineRule="auto"/>
            </w:pPr>
            <w:r>
              <w:rPr>
                <w:sz w:val="17"/>
              </w:rPr>
              <w:t>adapter-specific artifact reference</w:t>
            </w:r>
          </w:p>
        </w:tc>
        <w:tc>
          <w:tcPr>
            <w:tcW w:type="dxa" w:w="2498"/>
            <w:tcMar>
              <w:top w:w="100" w:type="dxa"/>
              <w:start w:w="120" w:type="dxa"/>
              <w:bottom w:w="100" w:type="dxa"/>
              <w:end w:w="120" w:type="dxa"/>
            </w:tcMar>
            <w:vAlign w:val="center"/>
          </w:tcPr>
          <w:p>
            <w:pPr>
              <w:spacing w:after="0" w:line="240" w:lineRule="auto"/>
            </w:pPr>
            <w:r>
              <w:rPr>
                <w:sz w:val="17"/>
              </w:rPr>
              <w:t>Adapter declares</w:t>
            </w:r>
          </w:p>
        </w:tc>
      </w:tr>
      <w:tr>
        <w:tc>
          <w:tcPr>
            <w:tcW w:type="dxa" w:w="2498"/>
            <w:tcMar>
              <w:top w:w="100" w:type="dxa"/>
              <w:start w:w="120" w:type="dxa"/>
              <w:bottom w:w="100" w:type="dxa"/>
              <w:end w:w="120" w:type="dxa"/>
            </w:tcMar>
            <w:vAlign w:val="center"/>
            <w:shd w:fill="F5F7F8"/>
          </w:tcPr>
          <w:p>
            <w:pPr>
              <w:spacing w:after="0" w:line="240" w:lineRule="auto"/>
            </w:pPr>
            <w:r>
              <w:rPr>
                <w:sz w:val="17"/>
              </w:rPr>
              <w:t>RAG run</w:t>
            </w:r>
          </w:p>
        </w:tc>
        <w:tc>
          <w:tcPr>
            <w:tcW w:type="dxa" w:w="2498"/>
            <w:tcMar>
              <w:top w:w="100" w:type="dxa"/>
              <w:start w:w="120" w:type="dxa"/>
              <w:bottom w:w="100" w:type="dxa"/>
              <w:end w:w="120" w:type="dxa"/>
            </w:tcMar>
            <w:vAlign w:val="center"/>
            <w:shd w:fill="F5F7F8"/>
          </w:tcPr>
          <w:p>
            <w:pPr>
              <w:spacing w:after="0" w:line="240" w:lineRule="auto"/>
            </w:pPr>
            <w:r>
              <w:rPr>
                <w:sz w:val="17"/>
              </w:rPr>
              <w:t>sample, full candidate, adapter fingerprint, corpus</w:t>
            </w:r>
          </w:p>
        </w:tc>
        <w:tc>
          <w:tcPr>
            <w:tcW w:type="dxa" w:w="2498"/>
            <w:tcMar>
              <w:top w:w="100" w:type="dxa"/>
              <w:start w:w="120" w:type="dxa"/>
              <w:bottom w:w="100" w:type="dxa"/>
              <w:end w:w="120" w:type="dxa"/>
            </w:tcMar>
            <w:vAlign w:val="center"/>
            <w:shd w:fill="F5F7F8"/>
          </w:tcPr>
          <w:p>
            <w:pPr>
              <w:spacing w:after="0" w:line="240" w:lineRule="auto"/>
            </w:pPr>
            <w:r>
              <w:rPr>
                <w:sz w:val="17"/>
              </w:rPr>
              <w:t>RunResult</w:t>
            </w:r>
          </w:p>
        </w:tc>
        <w:tc>
          <w:tcPr>
            <w:tcW w:type="dxa" w:w="2498"/>
            <w:tcMar>
              <w:top w:w="100" w:type="dxa"/>
              <w:start w:w="120" w:type="dxa"/>
              <w:bottom w:w="100" w:type="dxa"/>
              <w:end w:w="120" w:type="dxa"/>
            </w:tcMar>
            <w:vAlign w:val="center"/>
            <w:shd w:fill="F5F7F8"/>
          </w:tcPr>
          <w:p>
            <w:pPr>
              <w:spacing w:after="0" w:line="240" w:lineRule="auto"/>
            </w:pPr>
            <w:r>
              <w:rPr>
                <w:sz w:val="17"/>
              </w:rPr>
              <w:t>Yes when adapter declares deterministic enough</w:t>
            </w:r>
          </w:p>
        </w:tc>
      </w:tr>
      <w:tr>
        <w:tc>
          <w:tcPr>
            <w:tcW w:type="dxa" w:w="2498"/>
            <w:tcMar>
              <w:top w:w="100" w:type="dxa"/>
              <w:start w:w="120" w:type="dxa"/>
              <w:bottom w:w="100" w:type="dxa"/>
              <w:end w:w="120" w:type="dxa"/>
            </w:tcMar>
            <w:vAlign w:val="center"/>
          </w:tcPr>
          <w:p>
            <w:pPr>
              <w:spacing w:after="0" w:line="240" w:lineRule="auto"/>
            </w:pPr>
            <w:r>
              <w:rPr>
                <w:sz w:val="17"/>
              </w:rPr>
              <w:t>Evaluator result</w:t>
            </w:r>
          </w:p>
        </w:tc>
        <w:tc>
          <w:tcPr>
            <w:tcW w:type="dxa" w:w="2498"/>
            <w:tcMar>
              <w:top w:w="100" w:type="dxa"/>
              <w:start w:w="120" w:type="dxa"/>
              <w:bottom w:w="100" w:type="dxa"/>
              <w:end w:w="120" w:type="dxa"/>
            </w:tcMar>
            <w:vAlign w:val="center"/>
          </w:tcPr>
          <w:p>
            <w:pPr>
              <w:spacing w:after="0" w:line="240" w:lineRule="auto"/>
            </w:pPr>
            <w:r>
              <w:rPr>
                <w:sz w:val="17"/>
              </w:rPr>
              <w:t>sample, run result, evaluator fingerprint</w:t>
            </w:r>
          </w:p>
        </w:tc>
        <w:tc>
          <w:tcPr>
            <w:tcW w:type="dxa" w:w="2498"/>
            <w:tcMar>
              <w:top w:w="100" w:type="dxa"/>
              <w:start w:w="120" w:type="dxa"/>
              <w:bottom w:w="100" w:type="dxa"/>
              <w:end w:w="120" w:type="dxa"/>
            </w:tcMar>
            <w:vAlign w:val="center"/>
          </w:tcPr>
          <w:p>
            <w:pPr>
              <w:spacing w:after="0" w:line="240" w:lineRule="auto"/>
            </w:pPr>
            <w:r>
              <w:rPr>
                <w:sz w:val="17"/>
              </w:rPr>
              <w:t>MetricSet</w:t>
            </w:r>
          </w:p>
        </w:tc>
        <w:tc>
          <w:tcPr>
            <w:tcW w:type="dxa" w:w="2498"/>
            <w:tcMar>
              <w:top w:w="100" w:type="dxa"/>
              <w:start w:w="120" w:type="dxa"/>
              <w:bottom w:w="100" w:type="dxa"/>
              <w:end w:w="120" w:type="dxa"/>
            </w:tcMar>
            <w:vAlign w:val="center"/>
          </w:tcPr>
          <w:p>
            <w:pPr>
              <w:spacing w:after="0" w:line="240" w:lineRule="auto"/>
            </w:pPr>
            <w:r>
              <w:rPr>
                <w:sz w:val="17"/>
              </w:rPr>
              <w:t>Yes</w:t>
            </w:r>
          </w:p>
        </w:tc>
      </w:tr>
      <w:tr>
        <w:tc>
          <w:tcPr>
            <w:tcW w:type="dxa" w:w="2498"/>
            <w:tcMar>
              <w:top w:w="100" w:type="dxa"/>
              <w:start w:w="120" w:type="dxa"/>
              <w:bottom w:w="100" w:type="dxa"/>
              <w:end w:w="120" w:type="dxa"/>
            </w:tcMar>
            <w:vAlign w:val="center"/>
            <w:shd w:fill="F5F7F8"/>
          </w:tcPr>
          <w:p>
            <w:pPr>
              <w:spacing w:after="0" w:line="240" w:lineRule="auto"/>
            </w:pPr>
            <w:r>
              <w:rPr>
                <w:sz w:val="17"/>
              </w:rPr>
              <w:t>Objective</w:t>
            </w:r>
          </w:p>
        </w:tc>
        <w:tc>
          <w:tcPr>
            <w:tcW w:type="dxa" w:w="2498"/>
            <w:tcMar>
              <w:top w:w="100" w:type="dxa"/>
              <w:start w:w="120" w:type="dxa"/>
              <w:bottom w:w="100" w:type="dxa"/>
              <w:end w:w="120" w:type="dxa"/>
            </w:tcMar>
            <w:vAlign w:val="center"/>
            <w:shd w:fill="F5F7F8"/>
          </w:tcPr>
          <w:p>
            <w:pPr>
              <w:spacing w:after="0" w:line="240" w:lineRule="auto"/>
            </w:pPr>
            <w:r>
              <w:rPr>
                <w:sz w:val="17"/>
              </w:rPr>
              <w:t>aggregated metrics and objective fingerprint</w:t>
            </w:r>
          </w:p>
        </w:tc>
        <w:tc>
          <w:tcPr>
            <w:tcW w:type="dxa" w:w="2498"/>
            <w:tcMar>
              <w:top w:w="100" w:type="dxa"/>
              <w:start w:w="120" w:type="dxa"/>
              <w:bottom w:w="100" w:type="dxa"/>
              <w:end w:w="120" w:type="dxa"/>
            </w:tcMar>
            <w:vAlign w:val="center"/>
            <w:shd w:fill="F5F7F8"/>
          </w:tcPr>
          <w:p>
            <w:pPr>
              <w:spacing w:after="0" w:line="240" w:lineRule="auto"/>
            </w:pPr>
            <w:r>
              <w:rPr>
                <w:sz w:val="17"/>
              </w:rPr>
              <w:t>ObjectiveResult</w:t>
            </w:r>
          </w:p>
        </w:tc>
        <w:tc>
          <w:tcPr>
            <w:tcW w:type="dxa" w:w="2498"/>
            <w:tcMar>
              <w:top w:w="100" w:type="dxa"/>
              <w:start w:w="120" w:type="dxa"/>
              <w:bottom w:w="100" w:type="dxa"/>
              <w:end w:w="120" w:type="dxa"/>
            </w:tcMar>
            <w:vAlign w:val="center"/>
            <w:shd w:fill="F5F7F8"/>
          </w:tcPr>
          <w:p>
            <w:pPr>
              <w:spacing w:after="0" w:line="240" w:lineRule="auto"/>
            </w:pPr>
            <w:r>
              <w:rPr>
                <w:sz w:val="17"/>
              </w:rPr>
              <w:t>Always</w:t>
            </w:r>
          </w:p>
        </w:tc>
      </w:tr>
    </w:tbl>
    <w:p>
      <w:pPr>
        <w:spacing w:after="20"/>
      </w:pPr>
    </w:p>
    <w:p>
      <w:r>
        <w:t>Cache entries record creation time, producing version, exact key components, payload checksum, privacy class, and optional expiry. Cache reads verify payload type and checksum.</w:t>
      </w:r>
    </w:p>
    <w:p>
      <w:pPr>
        <w:pStyle w:val="Heading1"/>
      </w:pPr>
      <w:r>
        <w:t>Privacy boundaries</w:t>
      </w:r>
    </w:p>
    <w:p>
      <w:r>
        <w:t>Evaluation data may contain customer queries, proprietary documents, personal data, or regulated content. The package defaults to local processing and minimal persistence.</w:t>
      </w:r>
    </w:p>
    <w:p>
      <w:pPr>
        <w:pStyle w:val="ListBullet"/>
      </w:pPr>
      <w:r>
        <w:t>Raw document text, query text, answers, contexts, and evaluator rationales are sensitive payloads.</w:t>
      </w:r>
    </w:p>
    <w:p>
      <w:pPr>
        <w:pStyle w:val="ListBullet"/>
      </w:pPr>
      <w:r>
        <w:t xml:space="preserve">SQLite may store content only when </w:t>
      </w:r>
      <w:r>
        <w:rPr>
          <w:rFonts w:ascii="Cascadia Mono" w:hAnsi="Cascadia Mono"/>
          <w:sz w:val="18"/>
        </w:rPr>
        <w:t>store_payloads</w:t>
      </w:r>
      <w:r>
        <w:t xml:space="preserve"> permits it. The default stores normalized samples needed for resume locally and excludes full source documents.</w:t>
      </w:r>
    </w:p>
    <w:p>
      <w:pPr>
        <w:pStyle w:val="ListBullet"/>
      </w:pPr>
      <w:r>
        <w:t>Logs and standard events contain IDs and counts, not payload text.</w:t>
      </w:r>
    </w:p>
    <w:p>
      <w:pPr>
        <w:pStyle w:val="ListBullet"/>
      </w:pPr>
      <w:r>
        <w:t>Provider-backed generation and evaluation require an explicit client and therefore an explicit external data transfer decision by the user.</w:t>
      </w:r>
    </w:p>
    <w:p>
      <w:pPr>
        <w:pStyle w:val="ListBullet"/>
      </w:pPr>
      <w:r>
        <w:t>Hashes are not anonymization. Low-entropy queries can be guessed; access to cache and database files must be controlled.</w:t>
      </w:r>
    </w:p>
    <w:p>
      <w:pPr>
        <w:pStyle w:val="ListBullet"/>
      </w:pPr>
      <w:r>
        <w:t>Export functions support payload omission and metadata redaction.</w:t>
      </w:r>
    </w:p>
    <w:p>
      <w:pPr>
        <w:pStyle w:val="ListBullet"/>
      </w:pPr>
      <w:r>
        <w:t>Retention cleanup removes cache payloads and optional sample content while preserving aggregate experiment records when requested.</w:t>
      </w:r>
    </w:p>
    <w:p>
      <w:pPr>
        <w:pStyle w:val="Heading1"/>
      </w:pPr>
      <w:r>
        <w:t>Edge cases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shd w:fill="17324D"/>
            <w:tcMar>
              <w:top w:w="115" w:type="dxa"/>
              <w:start w:w="120" w:type="dxa"/>
              <w:bottom w:w="115" w:type="dxa"/>
              <w:end w:w="120" w:type="dxa"/>
            </w:tcMar>
            <w:vAlign w:val="center"/>
          </w:tcPr>
          <w:p>
            <w:r>
              <w:rPr>
                <w:b/>
                <w:color w:val="FFFFFF"/>
                <w:sz w:val="18"/>
              </w:rPr>
              <w:t>Case</w:t>
            </w:r>
          </w:p>
        </w:tc>
        <w:tc>
          <w:tcPr>
            <w:tcW w:type="dxa" w:w="4997"/>
            <w:shd w:fill="17324D"/>
            <w:tcMar>
              <w:top w:w="115" w:type="dxa"/>
              <w:start w:w="120" w:type="dxa"/>
              <w:bottom w:w="115" w:type="dxa"/>
              <w:end w:w="120" w:type="dxa"/>
            </w:tcMar>
            <w:vAlign w:val="center"/>
          </w:tcPr>
          <w:p>
            <w:r>
              <w:rPr>
                <w:b/>
                <w:color w:val="FFFFFF"/>
                <w:sz w:val="18"/>
              </w:rPr>
              <w:t>Behavior</w:t>
            </w:r>
          </w:p>
        </w:tc>
      </w:tr>
      <w:tr>
        <w:tc>
          <w:tcPr>
            <w:tcW w:type="dxa" w:w="4997"/>
            <w:tcMar>
              <w:top w:w="100" w:type="dxa"/>
              <w:start w:w="120" w:type="dxa"/>
              <w:bottom w:w="100" w:type="dxa"/>
              <w:end w:w="120" w:type="dxa"/>
            </w:tcMar>
            <w:vAlign w:val="center"/>
          </w:tcPr>
          <w:p>
            <w:pPr>
              <w:spacing w:after="0" w:line="240" w:lineRule="auto"/>
            </w:pPr>
            <w:r>
              <w:rPr>
                <w:sz w:val="17"/>
              </w:rPr>
              <w:t>Empty dataset</w:t>
            </w:r>
          </w:p>
        </w:tc>
        <w:tc>
          <w:tcPr>
            <w:tcW w:type="dxa" w:w="4997"/>
            <w:tcMar>
              <w:top w:w="100" w:type="dxa"/>
              <w:start w:w="120" w:type="dxa"/>
              <w:bottom w:w="100" w:type="dxa"/>
              <w:end w:w="120" w:type="dxa"/>
            </w:tcMar>
            <w:vAlign w:val="center"/>
          </w:tcPr>
          <w:p>
            <w:pPr>
              <w:spacing w:after="0" w:line="240" w:lineRule="auto"/>
            </w:pPr>
            <w:r>
              <w:rPr>
                <w:sz w:val="17"/>
              </w:rPr>
              <w:t>Reject before study creation</w:t>
            </w:r>
          </w:p>
        </w:tc>
      </w:tr>
      <w:tr>
        <w:tc>
          <w:tcPr>
            <w:tcW w:type="dxa" w:w="4997"/>
            <w:tcMar>
              <w:top w:w="100" w:type="dxa"/>
              <w:start w:w="120" w:type="dxa"/>
              <w:bottom w:w="100" w:type="dxa"/>
              <w:end w:w="120" w:type="dxa"/>
            </w:tcMar>
            <w:vAlign w:val="center"/>
            <w:shd w:fill="F5F7F8"/>
          </w:tcPr>
          <w:p>
            <w:pPr>
              <w:spacing w:after="0" w:line="240" w:lineRule="auto"/>
            </w:pPr>
            <w:r>
              <w:rPr>
                <w:sz w:val="17"/>
              </w:rPr>
              <w:t>One valid row among many invalid rows</w:t>
            </w:r>
          </w:p>
        </w:tc>
        <w:tc>
          <w:tcPr>
            <w:tcW w:type="dxa" w:w="4997"/>
            <w:tcMar>
              <w:top w:w="100" w:type="dxa"/>
              <w:start w:w="120" w:type="dxa"/>
              <w:bottom w:w="100" w:type="dxa"/>
              <w:end w:w="120" w:type="dxa"/>
            </w:tcMar>
            <w:vAlign w:val="center"/>
            <w:shd w:fill="F5F7F8"/>
          </w:tcPr>
          <w:p>
            <w:pPr>
              <w:spacing w:after="0" w:line="240" w:lineRule="auto"/>
            </w:pPr>
            <w:r>
              <w:rPr>
                <w:sz w:val="17"/>
              </w:rPr>
              <w:t>Return validation report; do not create partial dataset unless user requests filtered output</w:t>
            </w:r>
          </w:p>
        </w:tc>
      </w:tr>
      <w:tr>
        <w:tc>
          <w:tcPr>
            <w:tcW w:type="dxa" w:w="4997"/>
            <w:tcMar>
              <w:top w:w="100" w:type="dxa"/>
              <w:start w:w="120" w:type="dxa"/>
              <w:bottom w:w="100" w:type="dxa"/>
              <w:end w:w="120" w:type="dxa"/>
            </w:tcMar>
            <w:vAlign w:val="center"/>
          </w:tcPr>
          <w:p>
            <w:pPr>
              <w:spacing w:after="0" w:line="240" w:lineRule="auto"/>
            </w:pPr>
            <w:r>
              <w:rPr>
                <w:sz w:val="17"/>
              </w:rPr>
              <w:t>Repeated query with different approved answers</w:t>
            </w:r>
          </w:p>
        </w:tc>
        <w:tc>
          <w:tcPr>
            <w:tcW w:type="dxa" w:w="4997"/>
            <w:tcMar>
              <w:top w:w="100" w:type="dxa"/>
              <w:start w:w="120" w:type="dxa"/>
              <w:bottom w:w="100" w:type="dxa"/>
              <w:end w:w="120" w:type="dxa"/>
            </w:tcMar>
            <w:vAlign w:val="center"/>
          </w:tcPr>
          <w:p>
            <w:pPr>
              <w:spacing w:after="0" w:line="240" w:lineRule="auto"/>
            </w:pPr>
            <w:r>
              <w:rPr>
                <w:sz w:val="17"/>
              </w:rPr>
              <w:t>Preserve as distinct samples when IDs differ; warn about ambiguity</w:t>
            </w:r>
          </w:p>
        </w:tc>
      </w:tr>
      <w:tr>
        <w:tc>
          <w:tcPr>
            <w:tcW w:type="dxa" w:w="4997"/>
            <w:tcMar>
              <w:top w:w="100" w:type="dxa"/>
              <w:start w:w="120" w:type="dxa"/>
              <w:bottom w:w="100" w:type="dxa"/>
              <w:end w:w="120" w:type="dxa"/>
            </w:tcMar>
            <w:vAlign w:val="center"/>
            <w:shd w:fill="F5F7F8"/>
          </w:tcPr>
          <w:p>
            <w:pPr>
              <w:spacing w:after="0" w:line="240" w:lineRule="auto"/>
            </w:pPr>
            <w:r>
              <w:rPr>
                <w:sz w:val="17"/>
              </w:rPr>
              <w:t>Same document in multiple files</w:t>
            </w:r>
          </w:p>
        </w:tc>
        <w:tc>
          <w:tcPr>
            <w:tcW w:type="dxa" w:w="4997"/>
            <w:tcMar>
              <w:top w:w="100" w:type="dxa"/>
              <w:start w:w="120" w:type="dxa"/>
              <w:bottom w:w="100" w:type="dxa"/>
              <w:end w:w="120" w:type="dxa"/>
            </w:tcMar>
            <w:vAlign w:val="center"/>
            <w:shd w:fill="F5F7F8"/>
          </w:tcPr>
          <w:p>
            <w:pPr>
              <w:spacing w:after="0" w:line="240" w:lineRule="auto"/>
            </w:pPr>
            <w:r>
              <w:rPr>
                <w:sz w:val="17"/>
              </w:rPr>
              <w:t>Deduplicate content while retaining all source aliases in provenance</w:t>
            </w:r>
          </w:p>
        </w:tc>
      </w:tr>
      <w:tr>
        <w:tc>
          <w:tcPr>
            <w:tcW w:type="dxa" w:w="4997"/>
            <w:tcMar>
              <w:top w:w="100" w:type="dxa"/>
              <w:start w:w="120" w:type="dxa"/>
              <w:bottom w:w="100" w:type="dxa"/>
              <w:end w:w="120" w:type="dxa"/>
            </w:tcMar>
            <w:vAlign w:val="center"/>
          </w:tcPr>
          <w:p>
            <w:pPr>
              <w:spacing w:after="0" w:line="240" w:lineRule="auto"/>
            </w:pPr>
            <w:r>
              <w:rPr>
                <w:sz w:val="17"/>
              </w:rPr>
              <w:t>Provider returns malformed synthetic JSON</w:t>
            </w:r>
          </w:p>
        </w:tc>
        <w:tc>
          <w:tcPr>
            <w:tcW w:type="dxa" w:w="4997"/>
            <w:tcMar>
              <w:top w:w="100" w:type="dxa"/>
              <w:start w:w="120" w:type="dxa"/>
              <w:bottom w:w="100" w:type="dxa"/>
              <w:end w:w="120" w:type="dxa"/>
            </w:tcMar>
            <w:vAlign w:val="center"/>
          </w:tcPr>
          <w:p>
            <w:pPr>
              <w:spacing w:after="0" w:line="240" w:lineRule="auto"/>
            </w:pPr>
            <w:r>
              <w:rPr>
                <w:sz w:val="17"/>
              </w:rPr>
              <w:t>Repair within bounded attempts, then record generation failure</w:t>
            </w:r>
          </w:p>
        </w:tc>
      </w:tr>
      <w:tr>
        <w:tc>
          <w:tcPr>
            <w:tcW w:type="dxa" w:w="4997"/>
            <w:tcMar>
              <w:top w:w="100" w:type="dxa"/>
              <w:start w:w="120" w:type="dxa"/>
              <w:bottom w:w="100" w:type="dxa"/>
              <w:end w:w="120" w:type="dxa"/>
            </w:tcMar>
            <w:vAlign w:val="center"/>
            <w:shd w:fill="F5F7F8"/>
          </w:tcPr>
          <w:p>
            <w:pPr>
              <w:spacing w:after="0" w:line="240" w:lineRule="auto"/>
            </w:pPr>
            <w:r>
              <w:rPr>
                <w:sz w:val="17"/>
              </w:rPr>
              <w:t>Split ratio rounding</w:t>
            </w:r>
          </w:p>
        </w:tc>
        <w:tc>
          <w:tcPr>
            <w:tcW w:type="dxa" w:w="4997"/>
            <w:tcMar>
              <w:top w:w="100" w:type="dxa"/>
              <w:start w:w="120" w:type="dxa"/>
              <w:bottom w:w="100" w:type="dxa"/>
              <w:end w:w="120" w:type="dxa"/>
            </w:tcMar>
            <w:vAlign w:val="center"/>
            <w:shd w:fill="F5F7F8"/>
          </w:tcPr>
          <w:p>
            <w:pPr>
              <w:spacing w:after="0" w:line="240" w:lineRule="auto"/>
            </w:pPr>
            <w:r>
              <w:rPr>
                <w:sz w:val="17"/>
              </w:rPr>
              <w:t>Deterministic largest-remainder allocation with minimum constraints</w:t>
            </w:r>
          </w:p>
        </w:tc>
      </w:tr>
      <w:tr>
        <w:tc>
          <w:tcPr>
            <w:tcW w:type="dxa" w:w="4997"/>
            <w:tcMar>
              <w:top w:w="100" w:type="dxa"/>
              <w:start w:w="120" w:type="dxa"/>
              <w:bottom w:w="100" w:type="dxa"/>
              <w:end w:w="120" w:type="dxa"/>
            </w:tcMar>
            <w:vAlign w:val="center"/>
          </w:tcPr>
          <w:p>
            <w:pPr>
              <w:spacing w:after="0" w:line="240" w:lineRule="auto"/>
            </w:pPr>
            <w:r>
              <w:rPr>
                <w:sz w:val="17"/>
              </w:rPr>
              <w:t>Dataset changes during resume</w:t>
            </w:r>
          </w:p>
        </w:tc>
        <w:tc>
          <w:tcPr>
            <w:tcW w:type="dxa" w:w="4997"/>
            <w:tcMar>
              <w:top w:w="100" w:type="dxa"/>
              <w:start w:w="120" w:type="dxa"/>
              <w:bottom w:w="100" w:type="dxa"/>
              <w:end w:w="120" w:type="dxa"/>
            </w:tcMar>
            <w:vAlign w:val="center"/>
          </w:tcPr>
          <w:p>
            <w:pPr>
              <w:spacing w:after="0" w:line="240" w:lineRule="auto"/>
            </w:pPr>
            <w:r>
              <w:rPr>
                <w:sz w:val="17"/>
              </w:rPr>
              <w:t>Reject resume and offer a new study or explicit fork</w:t>
            </w:r>
          </w:p>
        </w:tc>
      </w:tr>
      <w:tr>
        <w:tc>
          <w:tcPr>
            <w:tcW w:type="dxa" w:w="4997"/>
            <w:tcMar>
              <w:top w:w="100" w:type="dxa"/>
              <w:start w:w="120" w:type="dxa"/>
              <w:bottom w:w="100" w:type="dxa"/>
              <w:end w:w="120" w:type="dxa"/>
            </w:tcMar>
            <w:vAlign w:val="center"/>
            <w:shd w:fill="F5F7F8"/>
          </w:tcPr>
          <w:p>
            <w:pPr>
              <w:spacing w:after="0" w:line="240" w:lineRule="auto"/>
            </w:pPr>
            <w:r>
              <w:rPr>
                <w:sz w:val="17"/>
              </w:rPr>
              <w:t>Ground truth updated</w:t>
            </w:r>
          </w:p>
        </w:tc>
        <w:tc>
          <w:tcPr>
            <w:tcW w:type="dxa" w:w="4997"/>
            <w:tcMar>
              <w:top w:w="100" w:type="dxa"/>
              <w:start w:w="120" w:type="dxa"/>
              <w:bottom w:w="100" w:type="dxa"/>
              <w:end w:w="120" w:type="dxa"/>
            </w:tcMar>
            <w:vAlign w:val="center"/>
            <w:shd w:fill="F5F7F8"/>
          </w:tcPr>
          <w:p>
            <w:pPr>
              <w:spacing w:after="0" w:line="240" w:lineRule="auto"/>
            </w:pPr>
            <w:r>
              <w:rPr>
                <w:sz w:val="17"/>
              </w:rPr>
              <w:t>New dataset hash; previous trial metrics remain attached to old version</w:t>
            </w:r>
          </w:p>
        </w:tc>
      </w:tr>
    </w:tbl>
    <w:p>
      <w:pPr>
        <w:spacing w:after="20"/>
      </w:pPr>
    </w:p>
    <w:p>
      <w:pPr>
        <w:pStyle w:val="Heading1"/>
      </w:pPr>
      <w:r>
        <w:t>Acceptance requirements</w:t>
      </w:r>
    </w:p>
    <w:p>
      <w:pPr>
        <w:spacing w:after="50" w:line="269" w:lineRule="auto"/>
        <w:ind w:left="115"/>
      </w:pPr>
      <w:r>
        <w:t xml:space="preserve">1. </w:t>
      </w:r>
      <w:r>
        <w:t>Loading the same semantic dataset from JSONL and CSV produces the same canonical hash when mappings are equivalent.</w:t>
      </w:r>
      <w:r>
        <w:br/>
      </w:r>
      <w:r>
        <w:t xml:space="preserve">2. </w:t>
      </w:r>
      <w:r>
        <w:t>Split assignments remain stable across process runs and input row order.</w:t>
      </w:r>
      <w:r>
        <w:br/>
      </w:r>
      <w:r>
        <w:t xml:space="preserve">3. </w:t>
      </w:r>
      <w:r>
        <w:t>Validation identifies every selected evaluator whose required fields are missing.</w:t>
      </w:r>
      <w:r>
        <w:br/>
      </w:r>
      <w:r>
        <w:t xml:space="preserve">4. </w:t>
      </w:r>
      <w:r>
        <w:t>Synthetic samples retain source spans and generation provenance.</w:t>
      </w:r>
      <w:r>
        <w:br/>
      </w:r>
      <w:r>
        <w:t xml:space="preserve">5. </w:t>
      </w:r>
      <w:r>
        <w:t>Cache keys change when any semantic input or component version changes.</w:t>
      </w:r>
      <w:r>
        <w:br/>
      </w:r>
      <w:r>
        <w:t xml:space="preserve">6. </w:t>
      </w:r>
      <w:r>
        <w:t>Default logs contain no raw sample or document text.</w:t>
      </w:r>
      <w:r>
        <w:br/>
      </w:r>
      <w:r>
        <w:t xml:space="preserve">7. </w:t>
      </w:r>
      <w:r>
        <w:t>Resume rejects incompatible dataset hashes before executing a trial.</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000000"/>
        <w:sz w:val="17"/>
      </w:rPr>
      <w:t>autorag-tuner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autorag-tuner Data Extraction Specification</dc:title>
  <dc:subject>autorag-tuner package design documentation</dc:subject>
  <dc:creator>autorag-tuner project</dc:creator>
  <cp:keywords>autorag-tuner, RAG optimization, Python</cp:keywords>
  <dc:description>generated by python-docx</dc:description>
  <cp:lastModifiedBy/>
  <cp:revision>1</cp:revision>
  <dcterms:created xsi:type="dcterms:W3CDTF">2013-12-23T23:15:00Z</dcterms:created>
  <dcterms:modified xsi:type="dcterms:W3CDTF">2013-12-23T23:15:00Z</dcterms:modified>
  <cp:category/>
</cp:coreProperties>
</file>