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560"/>
      </w:pPr>
      <w:r>
        <w:t>autorag-tuner Environment Config Reference</w:t>
      </w:r>
    </w:p>
    <w:p>
      <w:pPr>
        <w:pStyle w:val="Subtitle"/>
      </w:pPr>
      <w:r>
        <w:rPr>
          <w:rFonts w:ascii="Aptos" w:hAnsi="Aptos"/>
          <w:color w:val="4D4D4D"/>
          <w:sz w:val="30"/>
        </w:rPr>
        <w:t>autorag-tuner Python package</w:t>
      </w:r>
    </w:p>
    <w:p>
      <w:r>
        <w:t>Configuration hierarchy, environment variables, secrets, provider settings, and mode-specific defaults.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97"/>
        <w:gridCol w:w="4997"/>
      </w:tblGrid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81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V0.1 design baseline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81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September 2026</w:t>
            </w:r>
          </w:p>
        </w:tc>
      </w:tr>
      <w:t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rPr>
                <w:b/>
              </w:rPr>
              <w:t>Primary audience</w:t>
            </w:r>
          </w:p>
        </w:tc>
        <w:tc>
          <w:tcPr>
            <w:tcW w:type="dxa" w:w="81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Package users, operators, CI maintainers, and integration authors</w:t>
            </w:r>
          </w:p>
        </w:tc>
      </w:tr>
    </w:tbl>
    <w:p/>
    <w:p>
      <w:r>
        <w:rPr>
          <w:b/>
        </w:rPr>
        <w:t xml:space="preserve">Package boundary </w:t>
      </w:r>
      <w:r>
        <w:t>This document specifies the target autorag-tuner package. The existing Auto-RAG-Research implementation is reference material only and belongs under examples as a reference adapter and demonstration pipeline.</w:t>
      </w:r>
    </w:p>
    <w:p>
      <w:r>
        <w:br w:type="page"/>
      </w:r>
    </w:p>
    <w:p>
      <w:pPr>
        <w:pStyle w:val="Heading1"/>
      </w:pPr>
      <w:r>
        <w:t>Purpose and scope</w:t>
      </w:r>
    </w:p>
    <w:p>
      <w:r>
        <w:t>autorag-tuner uses explicit Python configuration as the primary interface, with environment variables for deployment-level defaults and secrets. Resolution is deterministic: call arguments override config objects, config files override environment defaults, and package defaults apply last. Secret values are never persisted in study configuration or printed in diagnostics.</w:t>
      </w:r>
    </w:p>
    <w:p>
      <w:pPr>
        <w:pStyle w:val="Heading2"/>
      </w:pPr>
      <w:r>
        <w:t>Current decisions</w:t>
      </w:r>
    </w:p>
    <w:p>
      <w:pPr>
        <w:pStyle w:val="ListBullet"/>
      </w:pPr>
      <w:r>
        <w:t>Python-first library with async-first internals and a synchronous convenience wrapper.</w:t>
      </w:r>
    </w:p>
    <w:p>
      <w:pPr>
        <w:pStyle w:val="ListBullet"/>
      </w:pPr>
      <w:r>
        <w:t>Users supply an existing RAG system through the RAGAdapter contract; the package does not own the application pipeline.</w:t>
      </w:r>
    </w:p>
    <w:p>
      <w:pPr>
        <w:pStyle w:val="ListBullet"/>
      </w:pPr>
      <w:r>
        <w:t>Search spaces accept arbitrary typed parameters. RandomSearch and LLMSearch ship in V0.1 behind one SearchStrategy interface.</w:t>
      </w:r>
    </w:p>
    <w:p>
      <w:pPr>
        <w:pStyle w:val="ListBullet"/>
      </w:pPr>
      <w:r>
        <w:t>Evaluation is plugin-based. RAGAS is an optional integration rather than a dependency of the core evaluation model.</w:t>
      </w:r>
    </w:p>
    <w:p>
      <w:pPr>
        <w:pStyle w:val="ListBullet"/>
      </w:pPr>
      <w:r>
        <w:t>Objectives can combine quality, cost, and latency. Usage values identify whether they are exact or estimated.</w:t>
      </w:r>
    </w:p>
    <w:p>
      <w:pPr>
        <w:pStyle w:val="ListBullet"/>
      </w:pPr>
      <w:r>
        <w:t>SQLite is the default experiment store. MLflow is optional and mirrors experiment records rather than replacing package state.</w:t>
      </w:r>
    </w:p>
    <w:p>
      <w:pPr>
        <w:pStyle w:val="ListBullet"/>
      </w:pPr>
      <w:r>
        <w:t>Trials are isolated, retryable, cacheable, resumable, and observable through callbacks and structured events.</w:t>
      </w:r>
    </w:p>
    <w:p>
      <w:pPr>
        <w:pStyle w:val="Heading2"/>
      </w:pPr>
      <w:r>
        <w:t>Related documents</w:t>
      </w:r>
    </w:p>
    <w:p>
      <w:pPr>
        <w:pStyle w:val="ListBullet"/>
      </w:pPr>
      <w:r>
        <w:t>API Specification for configuration objects</w:t>
      </w:r>
    </w:p>
    <w:p>
      <w:pPr>
        <w:pStyle w:val="ListBullet"/>
      </w:pPr>
      <w:r>
        <w:t>Database Schema for persisted settings</w:t>
      </w:r>
    </w:p>
    <w:p>
      <w:pPr>
        <w:pStyle w:val="ListBullet"/>
      </w:pPr>
      <w:r>
        <w:t>Coding Conventions for secret handling</w:t>
      </w:r>
    </w:p>
    <w:p>
      <w:pPr>
        <w:pStyle w:val="ListBullet"/>
      </w:pPr>
      <w:r>
        <w:t>Technical Design Document for runtime behavior</w:t>
      </w:r>
    </w:p>
    <w:p>
      <w:pPr>
        <w:pStyle w:val="Heading1"/>
      </w:pPr>
      <w:r>
        <w:t>Configuration sources and precedence</w:t>
      </w:r>
    </w:p>
    <w:p>
      <w:r>
        <w:t>Highest precedence wins:</w:t>
      </w:r>
    </w:p>
    <w:p>
      <w:pPr>
        <w:spacing w:after="50" w:line="269" w:lineRule="auto"/>
        <w:ind w:left="115"/>
      </w:pPr>
      <w:r>
        <w:t xml:space="preserve">1. </w:t>
      </w:r>
      <w:r>
        <w:t>Explicit method arguments.</w:t>
      </w:r>
      <w:r>
        <w:br/>
      </w:r>
      <w:r>
        <w:t xml:space="preserve">2. </w:t>
      </w:r>
      <w:r>
        <w:t xml:space="preserve">Explicit </w:t>
      </w:r>
      <w:r>
        <w:rPr>
          <w:rFonts w:ascii="Cascadia Mono" w:hAnsi="Cascadia Mono"/>
          <w:sz w:val="18"/>
        </w:rPr>
        <w:t>OptimizationConfig</w:t>
      </w:r>
      <w:r>
        <w:t xml:space="preserve"> or component constructor values.</w:t>
      </w:r>
      <w:r>
        <w:br/>
      </w:r>
      <w:r>
        <w:t xml:space="preserve">3. </w:t>
      </w:r>
      <w:r>
        <w:t>User-selected TOML configuration file.</w:t>
      </w:r>
      <w:r>
        <w:br/>
      </w:r>
      <w:r>
        <w:t xml:space="preserve">4. </w:t>
      </w:r>
      <w:r>
        <w:t xml:space="preserve">Environment variables prefixed </w:t>
      </w:r>
      <w:r>
        <w:rPr>
          <w:rFonts w:ascii="Cascadia Mono" w:hAnsi="Cascadia Mono"/>
          <w:sz w:val="18"/>
        </w:rPr>
        <w:t>AUTORAG_TUNER_</w:t>
      </w:r>
      <w:r>
        <w:t>.</w:t>
      </w:r>
      <w:r>
        <w:br/>
      </w:r>
      <w:r>
        <w:t xml:space="preserve">5. </w:t>
      </w:r>
      <w:r>
        <w:t>Package defaults.</w:t>
      </w:r>
    </w:p>
    <w:p>
      <w:r>
        <w:t xml:space="preserve">Provider SDK environment variables such as </w:t>
      </w:r>
      <w:r>
        <w:rPr>
          <w:rFonts w:ascii="Cascadia Mono" w:hAnsi="Cascadia Mono"/>
          <w:sz w:val="18"/>
        </w:rPr>
        <w:t>OPENAI_API_KEY</w:t>
      </w:r>
      <w:r>
        <w:t xml:space="preserve"> are read by the relevant integration only when no client is injected. A project </w:t>
      </w:r>
      <w:r>
        <w:rPr>
          <w:rFonts w:ascii="Cascadia Mono" w:hAnsi="Cascadia Mono"/>
          <w:sz w:val="18"/>
        </w:rPr>
        <w:t>.env</w:t>
      </w:r>
      <w:r>
        <w:t xml:space="preserve"> file is never loaded implicitly by the library. The CLI may offer </w:t>
      </w:r>
      <w:r>
        <w:rPr>
          <w:rFonts w:ascii="Cascadia Mono" w:hAnsi="Cascadia Mono"/>
          <w:sz w:val="18"/>
        </w:rPr>
        <w:t>--env-file</w:t>
      </w:r>
      <w:r>
        <w:t>; use is explicit and the path is not persisted.</w:t>
      </w:r>
    </w:p>
    <w:p>
      <w:pPr>
        <w:pStyle w:val="Heading1"/>
      </w:pPr>
      <w:r>
        <w:t>Core environment variables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498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98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498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`AUTORAG_TUNER_HOME`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path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platform user data directory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Base for default database, cache, and artifacts</w:t>
            </w:r>
          </w:p>
        </w:tc>
      </w:tr>
      <w:t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`AUTORAG_TUNER_DB_PATH`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path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`&lt;home&gt;/experiments.db`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SQLite database</w:t>
            </w:r>
          </w:p>
        </w:tc>
      </w:tr>
      <w:t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`AUTORAG_TUNER_CACHE_DIR`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path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`&lt;home&gt;/cache`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External cache payloads</w:t>
            </w:r>
          </w:p>
        </w:tc>
      </w:tr>
      <w:t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`AUTORAG_TUNER_ARTIFACT_DIR`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path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`&lt;home&gt;/artifacts`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Reports and exports</w:t>
            </w:r>
          </w:p>
        </w:tc>
      </w:tr>
      <w:t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`AUTORAG_TUNER_LOG_LEVEL`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enum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`WARNING` library, `INFO` CLI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Package logger threshold</w:t>
            </w:r>
          </w:p>
        </w:tc>
      </w:tr>
      <w:t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`AUTORAG_TUNER_LOG_FORMAT`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enum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`text`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`text` or `json` for CLI handler</w:t>
            </w:r>
          </w:p>
        </w:tc>
      </w:tr>
      <w:t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`AUTORAG_TUNER_MAX_TRIALS`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positive int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`25`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Study trial limit</w:t>
            </w:r>
          </w:p>
        </w:tc>
      </w:tr>
      <w:t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`AUTORAG_TUNER_CONCURRENCY`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positive int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`4`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Concurrent trials</w:t>
            </w:r>
          </w:p>
        </w:tc>
      </w:tr>
      <w:t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`AUTORAG_TUNER_SAMPLE_CONCURRENCY`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positive int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`8`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Concurrent samples per trial</w:t>
            </w:r>
          </w:p>
        </w:tc>
      </w:tr>
      <w:t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`AUTORAG_TUNER_SEED`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int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`0`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Root random seed</w:t>
            </w:r>
          </w:p>
        </w:tc>
      </w:tr>
      <w:t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`AUTORAG_TUNER_TRIAL_TIMEOUT_S`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float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unset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Whole-trial timeout</w:t>
            </w:r>
          </w:p>
        </w:tc>
      </w:tr>
      <w:t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`AUTORAG_TUNER_MAX_RETRIES`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nonnegative int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`2`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Retry count</w:t>
            </w:r>
          </w:p>
        </w:tc>
      </w:tr>
      <w:t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`AUTORAG_TUNER_CACHE_POLICY`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enum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`read_write`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off, read, write, or read_write</w:t>
            </w:r>
          </w:p>
        </w:tc>
      </w:tr>
      <w:t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`AUTORAG_TUNER_STORE_PAYLOADS`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enum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`local`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none, local, or full</w:t>
            </w:r>
          </w:p>
        </w:tc>
      </w:tr>
      <w:t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`AUTORAG_TUNER_TELEMETRY`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bool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`false`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Reserved; no telemetry in V0.1</w:t>
            </w:r>
          </w:p>
        </w:tc>
      </w:tr>
    </w:tbl>
    <w:p>
      <w:pPr>
        <w:spacing w:after="20"/>
      </w:pPr>
    </w:p>
    <w:p>
      <w:pPr>
        <w:pStyle w:val="Heading1"/>
      </w:pPr>
      <w:r>
        <w:t>SQLite settings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498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98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498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`AUTORAG_TUNER_SQLITE_BUSY_TIMEOUT_MS`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int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`5000`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Wait for short write contention</w:t>
            </w:r>
          </w:p>
        </w:tc>
      </w:tr>
      <w:t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`AUTORAG_TUNER_SQLITE_JOURNAL_MODE`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enum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`WAL`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Falls back only with warning</w:t>
            </w:r>
          </w:p>
        </w:tc>
      </w:tr>
      <w:t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`AUTORAG_TUNER_SQLITE_SYNCHRONOUS`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enum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`NORMAL`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`FULL` recommended for stricter durability</w:t>
            </w:r>
          </w:p>
        </w:tc>
      </w:tr>
      <w:t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`AUTORAG_TUNER_SQLITE_BACKUP_BEFORE_MIGRATION`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bool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`true`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Creates side-by-side backup</w:t>
            </w:r>
          </w:p>
        </w:tc>
      </w:tr>
      <w:t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`AUTORAG_TUNER_SQLITE_READ_ONLY`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bool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`false`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Reporting and audit mode</w:t>
            </w:r>
          </w:p>
        </w:tc>
      </w:tr>
    </w:tbl>
    <w:p>
      <w:pPr>
        <w:spacing w:after="20"/>
      </w:pPr>
    </w:p>
    <w:p>
      <w:r>
        <w:t xml:space="preserve">Relative paths in environment variables resolve from the current working directory for the CLI and are discouraged for long-running processes. Relative paths in a config file resolve from that file's directory. Python </w:t>
      </w:r>
      <w:r>
        <w:rPr>
          <w:rFonts w:ascii="Cascadia Mono" w:hAnsi="Cascadia Mono"/>
          <w:sz w:val="18"/>
        </w:rPr>
        <w:t>Path</w:t>
      </w:r>
      <w:r>
        <w:t xml:space="preserve"> arguments resolve according to ordinary application behavior.</w:t>
      </w:r>
    </w:p>
    <w:p>
      <w:pPr>
        <w:pStyle w:val="Heading1"/>
      </w:pPr>
      <w:r>
        <w:t>LLM search settings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331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3331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`AUTORAG_TUNER_LLM_SEARCH_PROVIDER`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unset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Named provider factory; client injection is preferred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`AUTORAG_TUNER_LLM_SEARCH_MODEL`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unset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Required for LLMSearch when not supplied in code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`AUTORAG_TUNER_LLM_SEARCH_TEMPERATURE`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`0.2`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Proposal variability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`AUTORAG_TUNER_LLM_SEARCH_HISTORY_LIMIT`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`20`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Recent observations in prompt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`AUTORAG_TUNER_LLM_SEARCH_TOP_TRIALS`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`5`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Best observations in summary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`AUTORAG_TUNER_LLM_SEARCH_REPAIR_ATTEMPTS`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`1`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Invalid structured-output repair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`AUTORAG_TUNER_LLM_SEARCH_PROMPT_VERSION`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package default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Pin a documented prompt template</w:t>
            </w:r>
          </w:p>
        </w:tc>
      </w:tr>
    </w:tbl>
    <w:p>
      <w:pPr>
        <w:spacing w:after="20"/>
      </w:pPr>
    </w:p>
    <w:p>
      <w:r>
        <w:t xml:space="preserve">Provider credentials retain their provider-standard names. Examples include </w:t>
      </w:r>
      <w:r>
        <w:rPr>
          <w:rFonts w:ascii="Cascadia Mono" w:hAnsi="Cascadia Mono"/>
          <w:sz w:val="18"/>
        </w:rPr>
        <w:t>OPENAI_API_KEY</w:t>
      </w:r>
      <w:r>
        <w:t xml:space="preserve">, </w:t>
      </w:r>
      <w:r>
        <w:rPr>
          <w:rFonts w:ascii="Cascadia Mono" w:hAnsi="Cascadia Mono"/>
          <w:sz w:val="18"/>
        </w:rPr>
        <w:t>AZURE_OPENAI_API_KEY</w:t>
      </w:r>
      <w:r>
        <w:t>, and provider endpoint or project variables. The package does not copy credential values into its own prefixed variables.</w:t>
      </w:r>
    </w:p>
    <w:p>
      <w:pPr>
        <w:pStyle w:val="Heading1"/>
      </w:pPr>
      <w:r>
        <w:t>RAGAS integration settings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331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3331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`AUTORAG_TUNER_RAGAS_JUDGE_MODEL`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integration default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Judge model when not supplied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`AUTORAG_TUNER_RAGAS_EMBEDDING_MODEL`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integration default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Metric embedding model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`AUTORAG_TUNER_RAGAS_TIMEOUT_S`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`120`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Provider evaluation timeout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`AUTORAG_TUNER_RAGAS_MAX_RETRIES`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`2`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Integration retry limit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`AUTORAG_TUNER_RAGAS_BATCH_SIZE`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capability-based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Batch limit</w:t>
            </w:r>
          </w:p>
        </w:tc>
      </w:tr>
    </w:tbl>
    <w:p>
      <w:pPr>
        <w:spacing w:after="20"/>
      </w:pPr>
    </w:p>
    <w:p>
      <w:r>
        <w:t>The integration records resolved model identifiers and library versions. It does not persist endpoints containing credentials or client objects.</w:t>
      </w:r>
    </w:p>
    <w:p>
      <w:pPr>
        <w:pStyle w:val="Heading1"/>
      </w:pPr>
      <w:r>
        <w:t>MLflow settings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331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3331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`AUTORAG_TUNER_MLFLOW_ENABLED`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`false`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Enable mirror callback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`MLFLOW_TRACKING_URI`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MLflow default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Tracking service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`AUTORAG_TUNER_MLFLOW_EXPERIMENT`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`autorag-tuner`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Destination experiment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`AUTORAG_TUNER_MLFLOW_ASYNC`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`true`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Avoid blocking authoritative commit path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`AUTORAG_TUNER_MLFLOW_REQUIRED`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`false`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If true, mirror failure stops study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`AUTORAG_TUNER_MLFLOW_LOG_SAMPLE_PAYLOADS`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`false`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Sensitive payload export gate</w:t>
            </w:r>
          </w:p>
        </w:tc>
      </w:tr>
    </w:tbl>
    <w:p>
      <w:pPr>
        <w:spacing w:after="20"/>
      </w:pPr>
    </w:p>
    <w:p>
      <w:pPr>
        <w:pStyle w:val="Heading1"/>
      </w:pPr>
      <w:r>
        <w:t>Synthetic generation settings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3331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331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3331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`AUTORAG_TUNER_SYNTH_MODEL`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unset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Required only for synthetic generation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`AUTORAG_TUNER_SYNTH_QUESTIONS_PER_WINDOW`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`3`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Requested density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`AUTORAG_TUNER_SYNTH_REQUIRE_SPANS`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`true`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Require source evidence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`AUTORAG_TUNER_SYNTH_MAX_CONCURRENCY`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`4`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Provider call bound</w:t>
            </w:r>
          </w:p>
        </w:tc>
      </w:tr>
      <w:tr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`AUTORAG_TUNER_SYNTH_STORE_PROMPTS`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`false`</w:t>
            </w:r>
          </w:p>
        </w:tc>
        <w:tc>
          <w:tcPr>
            <w:tcW w:type="dxa" w:w="33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Prompt retention gate</w:t>
            </w:r>
          </w:p>
        </w:tc>
      </w:tr>
    </w:tbl>
    <w:p>
      <w:pPr>
        <w:spacing w:after="20"/>
      </w:pPr>
    </w:p>
    <w:p>
      <w:pPr>
        <w:pStyle w:val="Heading1"/>
      </w:pPr>
      <w:r>
        <w:t>TOML configuration</w:t>
      </w:r>
    </w:p>
    <w:p>
      <w:pPr>
        <w:spacing w:before="80" w:after="140" w:line="240" w:lineRule="auto"/>
        <w:ind w:left="360" w:right="216"/>
      </w:pPr>
      <w:r>
        <w:rPr>
          <w:rFonts w:ascii="Cascadia Mono" w:hAnsi="Cascadia Mono"/>
          <w:sz w:val="17"/>
        </w:rPr>
        <w:t>[autorag_tuner]</w:t>
        <w:br/>
      </w:r>
      <w:r>
        <w:rPr>
          <w:rFonts w:ascii="Cascadia Mono" w:hAnsi="Cascadia Mono"/>
          <w:sz w:val="17"/>
        </w:rPr>
        <w:t>db_path = ".autorag/experiments.db"</w:t>
        <w:br/>
      </w:r>
      <w:r>
        <w:rPr>
          <w:rFonts w:ascii="Cascadia Mono" w:hAnsi="Cascadia Mono"/>
          <w:sz w:val="17"/>
        </w:rPr>
        <w:t>cache_dir = ".autorag/cache"</w:t>
        <w:br/>
      </w:r>
      <w:r>
        <w:rPr>
          <w:rFonts w:ascii="Cascadia Mono" w:hAnsi="Cascadia Mono"/>
          <w:sz w:val="17"/>
        </w:rPr>
        <w:t>max_trials = 30</w:t>
        <w:br/>
      </w:r>
      <w:r>
        <w:rPr>
          <w:rFonts w:ascii="Cascadia Mono" w:hAnsi="Cascadia Mono"/>
          <w:sz w:val="17"/>
        </w:rPr>
        <w:t>concurrency = 4</w:t>
        <w:br/>
      </w:r>
      <w:r>
        <w:rPr>
          <w:rFonts w:ascii="Cascadia Mono" w:hAnsi="Cascadia Mono"/>
          <w:sz w:val="17"/>
        </w:rPr>
        <w:t>sample_concurrency = 8</w:t>
        <w:br/>
      </w:r>
      <w:r>
        <w:rPr>
          <w:rFonts w:ascii="Cascadia Mono" w:hAnsi="Cascadia Mono"/>
          <w:sz w:val="17"/>
        </w:rPr>
        <w:t>seed = 42</w:t>
        <w:br/>
      </w:r>
      <w:r>
        <w:rPr>
          <w:rFonts w:ascii="Cascadia Mono" w:hAnsi="Cascadia Mono"/>
          <w:sz w:val="17"/>
        </w:rPr>
        <w:br/>
      </w:r>
      <w:r>
        <w:rPr>
          <w:rFonts w:ascii="Cascadia Mono" w:hAnsi="Cascadia Mono"/>
          <w:sz w:val="17"/>
        </w:rPr>
        <w:t>[autorag_tuner.retry]</w:t>
        <w:br/>
      </w:r>
      <w:r>
        <w:rPr>
          <w:rFonts w:ascii="Cascadia Mono" w:hAnsi="Cascadia Mono"/>
          <w:sz w:val="17"/>
        </w:rPr>
        <w:t>max_retries = 2</w:t>
        <w:br/>
      </w:r>
      <w:r>
        <w:rPr>
          <w:rFonts w:ascii="Cascadia Mono" w:hAnsi="Cascadia Mono"/>
          <w:sz w:val="17"/>
        </w:rPr>
        <w:t>initial_backoff_s = 1.0</w:t>
        <w:br/>
      </w:r>
      <w:r>
        <w:rPr>
          <w:rFonts w:ascii="Cascadia Mono" w:hAnsi="Cascadia Mono"/>
          <w:sz w:val="17"/>
        </w:rPr>
        <w:t>max_backoff_s = 20.0</w:t>
        <w:br/>
      </w:r>
      <w:r>
        <w:rPr>
          <w:rFonts w:ascii="Cascadia Mono" w:hAnsi="Cascadia Mono"/>
          <w:sz w:val="17"/>
        </w:rPr>
        <w:t>jitter = true</w:t>
        <w:br/>
      </w:r>
      <w:r>
        <w:rPr>
          <w:rFonts w:ascii="Cascadia Mono" w:hAnsi="Cascadia Mono"/>
          <w:sz w:val="17"/>
        </w:rPr>
        <w:br/>
      </w:r>
      <w:r>
        <w:rPr>
          <w:rFonts w:ascii="Cascadia Mono" w:hAnsi="Cascadia Mono"/>
          <w:sz w:val="17"/>
        </w:rPr>
        <w:t>[autorag_tuner.privacy]</w:t>
        <w:br/>
      </w:r>
      <w:r>
        <w:rPr>
          <w:rFonts w:ascii="Cascadia Mono" w:hAnsi="Cascadia Mono"/>
          <w:sz w:val="17"/>
        </w:rPr>
        <w:t>store_payloads = "local"</w:t>
        <w:br/>
      </w:r>
      <w:r>
        <w:rPr>
          <w:rFonts w:ascii="Cascadia Mono" w:hAnsi="Cascadia Mono"/>
          <w:sz w:val="17"/>
        </w:rPr>
        <w:t>log_content = false</w:t>
        <w:br/>
      </w:r>
      <w:r>
        <w:rPr>
          <w:rFonts w:ascii="Cascadia Mono" w:hAnsi="Cascadia Mono"/>
          <w:sz w:val="17"/>
        </w:rPr>
        <w:br/>
      </w:r>
      <w:r>
        <w:rPr>
          <w:rFonts w:ascii="Cascadia Mono" w:hAnsi="Cascadia Mono"/>
          <w:sz w:val="17"/>
        </w:rPr>
        <w:t>[autorag_tuner.mlflow]</w:t>
        <w:br/>
      </w:r>
      <w:r>
        <w:rPr>
          <w:rFonts w:ascii="Cascadia Mono" w:hAnsi="Cascadia Mono"/>
          <w:sz w:val="17"/>
        </w:rPr>
        <w:t>enabled = false</w:t>
      </w:r>
    </w:p>
    <w:p>
      <w:r>
        <w:t>Unknown keys are errors by default. A compatibility flag may downgrade unknown integration keys to warnings during staged rollout, but core unknown keys remain errors.</w:t>
      </w:r>
    </w:p>
    <w:p>
      <w:pPr>
        <w:pStyle w:val="Heading1"/>
      </w:pPr>
      <w:r>
        <w:t>Secrets</w:t>
      </w:r>
    </w:p>
    <w:p>
      <w:r>
        <w:t>Secrets include provider API keys, tokens, database credentials for later stores, signed URLs, and authentication headers. The package follows these rules:</w:t>
      </w:r>
    </w:p>
    <w:p>
      <w:pPr>
        <w:pStyle w:val="ListBullet"/>
      </w:pPr>
      <w:r>
        <w:t>Prefer injected provider clients for applications that already manage credentials.</w:t>
      </w:r>
    </w:p>
    <w:p>
      <w:pPr>
        <w:pStyle w:val="ListBullet"/>
      </w:pPr>
      <w:r>
        <w:t>Read environment secrets only in the integration that needs them.</w:t>
      </w:r>
    </w:p>
    <w:p>
      <w:pPr>
        <w:pStyle w:val="ListBullet"/>
      </w:pPr>
      <w:r>
        <w:t>Wrap values in a secret type whose representation is redacted.</w:t>
      </w:r>
    </w:p>
    <w:p>
      <w:pPr>
        <w:pStyle w:val="ListBullet"/>
      </w:pPr>
      <w:r>
        <w:t>Exclude secrets from canonical configuration hashes; include nonsecret endpoint and model identity when semantically relevant.</w:t>
      </w:r>
    </w:p>
    <w:p>
      <w:pPr>
        <w:pStyle w:val="ListBullet"/>
      </w:pPr>
      <w:r>
        <w:t>Never persist environment snapshots wholesale.</w:t>
      </w:r>
    </w:p>
    <w:p>
      <w:pPr>
        <w:pStyle w:val="ListBullet"/>
      </w:pPr>
      <w:r>
        <w:t>Never include credentials in exception messages, events, exported config, cache metadata, or MLflow parameters.</w:t>
      </w:r>
    </w:p>
    <w:p>
      <w:pPr>
        <w:pStyle w:val="ListBullet"/>
      </w:pPr>
      <w:r>
        <w:t>Support secret rotation between trials; record provider identity without recording the credential version unless the application supplies a safe identifier.</w:t>
      </w:r>
    </w:p>
    <w:p>
      <w:pPr>
        <w:pStyle w:val="Heading1"/>
      </w:pPr>
      <w:r>
        <w:t>Mode profiles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98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2498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Local development</w:t>
            </w:r>
          </w:p>
        </w:tc>
        <w:tc>
          <w:tcPr>
            <w:tcW w:type="dxa" w:w="2498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498"/>
            <w:shd w:fill="17324D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Production library use</w:t>
            </w:r>
          </w:p>
        </w:tc>
      </w:tr>
      <w:t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Database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Local file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Temporary isolated file or in-memory for narrow unit tests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Explicit durable local path</w:t>
            </w:r>
          </w:p>
        </w:tc>
      </w:tr>
      <w:t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Log level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INFO or DEBUG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WARNING unless asserted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Application controlled</w:t>
            </w:r>
          </w:p>
        </w:tc>
      </w:tr>
      <w:t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Network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Allowed when developer opts in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Disabled in default suite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Application policy</w:t>
            </w:r>
          </w:p>
        </w:tc>
      </w:tr>
      <w:t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Retries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Short delays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Zero-delay fake clock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Bounded exponential backoff</w:t>
            </w:r>
          </w:p>
        </w:tc>
      </w:tr>
      <w:t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Cache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Read-write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Temporary or disabled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Read-write with quota</w:t>
            </w:r>
          </w:p>
        </w:tc>
      </w:tr>
      <w:t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Payload storage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Local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Synthetic fixtures only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7F8"/>
          </w:tcPr>
          <w:p>
            <w:pPr>
              <w:spacing w:after="0" w:line="240" w:lineRule="auto"/>
            </w:pPr>
            <w:r>
              <w:rPr>
                <w:sz w:val="17"/>
              </w:rPr>
              <w:t>Explicit privacy policy</w:t>
            </w:r>
          </w:p>
        </w:tc>
      </w:tr>
      <w:tr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Migrations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Automatic with backup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Fresh and fixture upgrades</w:t>
            </w:r>
          </w:p>
        </w:tc>
        <w:tc>
          <w:tcPr>
            <w:tcW w:type="dxa" w:w="249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7"/>
              </w:rPr>
              <w:t>Automatic or preflight command</w:t>
            </w:r>
          </w:p>
        </w:tc>
      </w:tr>
    </w:tbl>
    <w:p>
      <w:pPr>
        <w:spacing w:after="20"/>
      </w:pPr>
    </w:p>
    <w:p>
      <w:r>
        <w:t>There is no hidden environment mode that changes semantics. Profiles are documented bundles of explicit values. A trial produced in development and production remains comparable when its resolved configuration and fingerprints match.</w:t>
      </w:r>
    </w:p>
    <w:p>
      <w:pPr>
        <w:pStyle w:val="Heading1"/>
      </w:pPr>
      <w:r>
        <w:t>Resolution and diagnostics</w:t>
      </w:r>
    </w:p>
    <w:p>
      <w:r>
        <w:rPr>
          <w:rFonts w:ascii="Cascadia Mono" w:hAnsi="Cascadia Mono"/>
          <w:sz w:val="18"/>
        </w:rPr>
        <w:t>autorag-tuner config show</w:t>
      </w:r>
      <w:r>
        <w:t xml:space="preserve"> prints resolved nonsecret settings, their source, and validation warnings. Secret fields show only whether a value is present. </w:t>
      </w:r>
      <w:r>
        <w:rPr>
          <w:rFonts w:ascii="Cascadia Mono" w:hAnsi="Cascadia Mono"/>
          <w:sz w:val="18"/>
        </w:rPr>
        <w:t>config validate</w:t>
      </w:r>
      <w:r>
        <w:t xml:space="preserve"> checks paths, enum values, optional dependency availability, and provider prerequisites without making billable provider calls unless </w:t>
      </w:r>
      <w:r>
        <w:rPr>
          <w:rFonts w:ascii="Cascadia Mono" w:hAnsi="Cascadia Mono"/>
          <w:sz w:val="18"/>
        </w:rPr>
        <w:t>--probe</w:t>
      </w:r>
      <w:r>
        <w:t xml:space="preserve"> is explicitly requested.</w:t>
      </w:r>
    </w:p>
    <w:p>
      <w:pPr>
        <w:spacing w:before="80" w:after="140" w:line="240" w:lineRule="auto"/>
        <w:ind w:left="360" w:right="216"/>
      </w:pPr>
      <w:r>
        <w:rPr>
          <w:rFonts w:ascii="Cascadia Mono" w:hAnsi="Cascadia Mono"/>
          <w:sz w:val="17"/>
        </w:rPr>
        <w:t>db_path                 C:\work\.autorag\experiments.db   config file</w:t>
        <w:br/>
      </w:r>
      <w:r>
        <w:rPr>
          <w:rFonts w:ascii="Cascadia Mono" w:hAnsi="Cascadia Mono"/>
          <w:sz w:val="17"/>
        </w:rPr>
        <w:t>concurrency             4                                  environment</w:t>
        <w:br/>
      </w:r>
      <w:r>
        <w:rPr>
          <w:rFonts w:ascii="Cascadia Mono" w:hAnsi="Cascadia Mono"/>
          <w:sz w:val="17"/>
        </w:rPr>
        <w:t>llm_search.model        gpt-4o-mini                        constructor</w:t>
        <w:br/>
      </w:r>
      <w:r>
        <w:rPr>
          <w:rFonts w:ascii="Cascadia Mono" w:hAnsi="Cascadia Mono"/>
          <w:sz w:val="17"/>
        </w:rPr>
        <w:t>openai.api_key          present                            provider environment</w:t>
      </w:r>
    </w:p>
    <w:p>
      <w:pPr>
        <w:pStyle w:val="Heading1"/>
      </w:pPr>
      <w:r>
        <w:t>Invalid configuration behavior</w:t>
      </w:r>
    </w:p>
    <w:p>
      <w:pPr>
        <w:pStyle w:val="ListBullet"/>
      </w:pPr>
      <w:r>
        <w:t>Empty strings do not silently mean unset for required values.</w:t>
      </w:r>
    </w:p>
    <w:p>
      <w:pPr>
        <w:pStyle w:val="ListBullet"/>
      </w:pPr>
      <w:r>
        <w:t>Boolean parsing accepts a documented set such as true, false, 1, 0, yes, and no, case-insensitively.</w:t>
      </w:r>
    </w:p>
    <w:p>
      <w:pPr>
        <w:pStyle w:val="ListBullet"/>
      </w:pPr>
      <w:r>
        <w:t>Numeric values reject NaN, infinity, negative counts, and overflow.</w:t>
      </w:r>
    </w:p>
    <w:p>
      <w:pPr>
        <w:pStyle w:val="ListBullet"/>
      </w:pPr>
      <w:r>
        <w:t>Environment interpolation inside TOML is not supported in V0.1; secrets remain in environment or injected clients.</w:t>
      </w:r>
    </w:p>
    <w:p>
      <w:pPr>
        <w:pStyle w:val="ListBullet"/>
      </w:pPr>
      <w:r>
        <w:t>Conflicting settings report both sources and the chosen precedence.</w:t>
      </w:r>
    </w:p>
    <w:p>
      <w:pPr>
        <w:pStyle w:val="ListBullet"/>
      </w:pPr>
      <w:r>
        <w:t>Deprecated variables emit a warning with replacement and removal version.</w:t>
      </w:r>
    </w:p>
    <w:p>
      <w:pPr>
        <w:pStyle w:val="Heading1"/>
      </w:pPr>
      <w:r>
        <w:t>Deployment examples</w:t>
      </w:r>
    </w:p>
    <w:p>
      <w:pPr>
        <w:pStyle w:val="Heading2"/>
      </w:pPr>
      <w:r>
        <w:t>Reproducible local CLI</w:t>
      </w:r>
    </w:p>
    <w:p>
      <w:pPr>
        <w:spacing w:before="80" w:after="140" w:line="240" w:lineRule="auto"/>
        <w:ind w:left="360" w:right="216"/>
      </w:pPr>
      <w:r>
        <w:rPr>
          <w:rFonts w:ascii="Cascadia Mono" w:hAnsi="Cascadia Mono"/>
          <w:sz w:val="17"/>
        </w:rPr>
        <w:t>$env:AUTORAG_TUNER_DB_PATH = ".autorag\experiments.db"</w:t>
        <w:br/>
      </w:r>
      <w:r>
        <w:rPr>
          <w:rFonts w:ascii="Cascadia Mono" w:hAnsi="Cascadia Mono"/>
          <w:sz w:val="17"/>
        </w:rPr>
        <w:t>$env:AUTORAG_TUNER_SEED = "42"</w:t>
        <w:br/>
      </w:r>
      <w:r>
        <w:rPr>
          <w:rFonts w:ascii="Cascadia Mono" w:hAnsi="Cascadia Mono"/>
          <w:sz w:val="17"/>
        </w:rPr>
        <w:t>autorag-tuner run study.toml</w:t>
      </w:r>
    </w:p>
    <w:p>
      <w:pPr>
        <w:pStyle w:val="Heading2"/>
      </w:pPr>
      <w:r>
        <w:t>Application construction</w:t>
      </w:r>
    </w:p>
    <w:p>
      <w:pPr>
        <w:spacing w:before="80" w:after="140" w:line="240" w:lineRule="auto"/>
        <w:ind w:left="360" w:right="216"/>
      </w:pPr>
      <w:r>
        <w:rPr>
          <w:rFonts w:ascii="Cascadia Mono" w:hAnsi="Cascadia Mono"/>
          <w:sz w:val="17"/>
        </w:rPr>
        <w:t>settings = Settings.from_env(prefix="AUTORAG_TUNER_")</w:t>
        <w:br/>
      </w:r>
      <w:r>
        <w:rPr>
          <w:rFonts w:ascii="Cascadia Mono" w:hAnsi="Cascadia Mono"/>
          <w:sz w:val="17"/>
        </w:rPr>
        <w:t>store = SQLiteExperimentStore(settings.db_path)</w:t>
        <w:br/>
      </w:r>
      <w:r>
        <w:rPr>
          <w:rFonts w:ascii="Cascadia Mono" w:hAnsi="Cascadia Mono"/>
          <w:sz w:val="17"/>
        </w:rPr>
        <w:t>optimizer = Optimizer(..., store=store, config=settings.optimization)</w:t>
        <w:br/>
      </w:r>
      <w:r>
        <w:rPr>
          <w:rFonts w:ascii="Cascadia Mono" w:hAnsi="Cascadia Mono"/>
          <w:sz w:val="17"/>
        </w:rPr>
        <w:t>result = await optimizer.aoptimize(dataset)</w:t>
      </w:r>
    </w:p>
    <w:p>
      <w:pPr>
        <w:pStyle w:val="Heading1"/>
      </w:pPr>
      <w:r>
        <w:t>Future configuration</w:t>
      </w:r>
    </w:p>
    <w:p>
      <w:r>
        <w:t>Later releases may add Postgres connection settings, distributed worker leases, Pareto selection, framework adapter settings, and a hosted service client. These additions must remain namespaced and cannot change V0.1 defaults silently.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000000"/>
        <w:sz w:val="17"/>
      </w:rPr>
      <w:t>autorag-tuner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autorag-tuner Environment Config Reference</dc:title>
  <dc:subject>autorag-tuner package design documentation</dc:subject>
  <dc:creator>autorag-tuner project</dc:creator>
  <cp:keywords>autorag-tuner, RAG optimization, Python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