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File Folder Structure</w:t>
      </w:r>
    </w:p>
    <w:p>
      <w:pPr>
        <w:pStyle w:val="Subtitle"/>
      </w:pPr>
      <w:r>
        <w:rPr>
          <w:rFonts w:ascii="Aptos" w:hAnsi="Aptos"/>
          <w:color w:val="4D4D4D"/>
          <w:sz w:val="30"/>
        </w:rPr>
        <w:t>autorag-tuner Python package</w:t>
      </w:r>
    </w:p>
    <w:p>
      <w:r>
        <w:t>Expected repository layout and the responsibility, dependency direction, and ownership of each major path.</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Maintainers, contributors, release engineers, and AI coding agents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The repository uses a `src` layout, isolates optional integrations, keeps examples outside the installable core, and separates domain models from orchestration and persistence. The current reference RAG implementation moves under examples and must not become a hidden dependency of the package.</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Component Map for logical ownership</w:t>
      </w:r>
    </w:p>
    <w:p>
      <w:pPr>
        <w:pStyle w:val="ListBullet"/>
      </w:pPr>
      <w:r>
        <w:t>Coding Conventions for dependency rules</w:t>
      </w:r>
    </w:p>
    <w:p>
      <w:pPr>
        <w:pStyle w:val="ListBullet"/>
      </w:pPr>
      <w:r>
        <w:t>Technical Design Document for internal interfaces</w:t>
      </w:r>
    </w:p>
    <w:p>
      <w:pPr>
        <w:pStyle w:val="ListBullet"/>
      </w:pPr>
      <w:r>
        <w:t>Documentation Index for agent guidance</w:t>
      </w:r>
    </w:p>
    <w:p>
      <w:pPr>
        <w:pStyle w:val="Heading1"/>
      </w:pPr>
      <w:r>
        <w:t>Proposed repository tree</w:t>
      </w:r>
    </w:p>
    <w:p>
      <w:pPr>
        <w:spacing w:before="80" w:after="140" w:line="240" w:lineRule="auto"/>
        <w:ind w:left="360" w:right="216"/>
      </w:pPr>
      <w:r>
        <w:rPr>
          <w:rFonts w:ascii="Cascadia Mono" w:hAnsi="Cascadia Mono"/>
          <w:sz w:val="17"/>
        </w:rPr>
        <w:t>autorag-tuner/</w:t>
        <w:br/>
      </w:r>
      <w:r>
        <w:rPr>
          <w:rFonts w:ascii="Cascadia Mono" w:hAnsi="Cascadia Mono"/>
          <w:sz w:val="17"/>
        </w:rPr>
        <w:t>|-- pyproject.toml</w:t>
        <w:br/>
      </w:r>
      <w:r>
        <w:rPr>
          <w:rFonts w:ascii="Cascadia Mono" w:hAnsi="Cascadia Mono"/>
          <w:sz w:val="17"/>
        </w:rPr>
        <w:t>|-- README.md</w:t>
        <w:br/>
      </w:r>
      <w:r>
        <w:rPr>
          <w:rFonts w:ascii="Cascadia Mono" w:hAnsi="Cascadia Mono"/>
          <w:sz w:val="17"/>
        </w:rPr>
        <w:t>|-- LICENSE</w:t>
        <w:br/>
      </w:r>
      <w:r>
        <w:rPr>
          <w:rFonts w:ascii="Cascadia Mono" w:hAnsi="Cascadia Mono"/>
          <w:sz w:val="17"/>
        </w:rPr>
        <w:t>|-- CHANGELOG.md</w:t>
        <w:br/>
      </w:r>
      <w:r>
        <w:rPr>
          <w:rFonts w:ascii="Cascadia Mono" w:hAnsi="Cascadia Mono"/>
          <w:sz w:val="17"/>
        </w:rPr>
        <w:t>|-- SECURITY.md</w:t>
        <w:br/>
      </w:r>
      <w:r>
        <w:rPr>
          <w:rFonts w:ascii="Cascadia Mono" w:hAnsi="Cascadia Mono"/>
          <w:sz w:val="17"/>
        </w:rPr>
        <w:t>|-- CONTRIBUTING.md</w:t>
        <w:br/>
      </w:r>
      <w:r>
        <w:rPr>
          <w:rFonts w:ascii="Cascadia Mono" w:hAnsi="Cascadia Mono"/>
          <w:sz w:val="17"/>
        </w:rPr>
        <w:t>|-- src/</w:t>
        <w:br/>
      </w:r>
      <w:r>
        <w:rPr>
          <w:rFonts w:ascii="Cascadia Mono" w:hAnsi="Cascadia Mono"/>
          <w:sz w:val="17"/>
        </w:rPr>
        <w:t>|   `-- autorag_tuner/</w:t>
        <w:br/>
      </w:r>
      <w:r>
        <w:rPr>
          <w:rFonts w:ascii="Cascadia Mono" w:hAnsi="Cascadia Mono"/>
          <w:sz w:val="17"/>
        </w:rPr>
        <w:t>|       |-- __init__.py</w:t>
        <w:br/>
      </w:r>
      <w:r>
        <w:rPr>
          <w:rFonts w:ascii="Cascadia Mono" w:hAnsi="Cascadia Mono"/>
          <w:sz w:val="17"/>
        </w:rPr>
        <w:t>|       |-- py.typed</w:t>
        <w:br/>
      </w:r>
      <w:r>
        <w:rPr>
          <w:rFonts w:ascii="Cascadia Mono" w:hAnsi="Cascadia Mono"/>
          <w:sz w:val="17"/>
        </w:rPr>
        <w:t>|       |-- _version.py</w:t>
        <w:br/>
      </w:r>
      <w:r>
        <w:rPr>
          <w:rFonts w:ascii="Cascadia Mono" w:hAnsi="Cascadia Mono"/>
          <w:sz w:val="17"/>
        </w:rPr>
        <w:t>|       |-- api/</w:t>
        <w:br/>
      </w:r>
      <w:r>
        <w:rPr>
          <w:rFonts w:ascii="Cascadia Mono" w:hAnsi="Cascadia Mono"/>
          <w:sz w:val="17"/>
        </w:rPr>
        <w:t>|       |-- domain/</w:t>
        <w:br/>
      </w:r>
      <w:r>
        <w:rPr>
          <w:rFonts w:ascii="Cascadia Mono" w:hAnsi="Cascadia Mono"/>
          <w:sz w:val="17"/>
        </w:rPr>
        <w:t>|       |-- core/</w:t>
        <w:br/>
      </w:r>
      <w:r>
        <w:rPr>
          <w:rFonts w:ascii="Cascadia Mono" w:hAnsi="Cascadia Mono"/>
          <w:sz w:val="17"/>
        </w:rPr>
        <w:t>|       |-- search_space/</w:t>
        <w:br/>
      </w:r>
      <w:r>
        <w:rPr>
          <w:rFonts w:ascii="Cascadia Mono" w:hAnsi="Cascadia Mono"/>
          <w:sz w:val="17"/>
        </w:rPr>
        <w:t>|       |-- strategies/</w:t>
        <w:br/>
      </w:r>
      <w:r>
        <w:rPr>
          <w:rFonts w:ascii="Cascadia Mono" w:hAnsi="Cascadia Mono"/>
          <w:sz w:val="17"/>
        </w:rPr>
        <w:t>|       |-- evaluators/</w:t>
        <w:br/>
      </w:r>
      <w:r>
        <w:rPr>
          <w:rFonts w:ascii="Cascadia Mono" w:hAnsi="Cascadia Mono"/>
          <w:sz w:val="17"/>
        </w:rPr>
        <w:t>|       |-- objectives/</w:t>
        <w:br/>
      </w:r>
      <w:r>
        <w:rPr>
          <w:rFonts w:ascii="Cascadia Mono" w:hAnsi="Cascadia Mono"/>
          <w:sz w:val="17"/>
        </w:rPr>
        <w:t>|       |-- stores/</w:t>
        <w:br/>
      </w:r>
      <w:r>
        <w:rPr>
          <w:rFonts w:ascii="Cascadia Mono" w:hAnsi="Cascadia Mono"/>
          <w:sz w:val="17"/>
        </w:rPr>
        <w:t>|       |-- cache/</w:t>
        <w:br/>
      </w:r>
      <w:r>
        <w:rPr>
          <w:rFonts w:ascii="Cascadia Mono" w:hAnsi="Cascadia Mono"/>
          <w:sz w:val="17"/>
        </w:rPr>
        <w:t>|       |-- events/</w:t>
        <w:br/>
      </w:r>
      <w:r>
        <w:rPr>
          <w:rFonts w:ascii="Cascadia Mono" w:hAnsi="Cascadia Mono"/>
          <w:sz w:val="17"/>
        </w:rPr>
        <w:t>|       |-- config/</w:t>
        <w:br/>
      </w:r>
      <w:r>
        <w:rPr>
          <w:rFonts w:ascii="Cascadia Mono" w:hAnsi="Cascadia Mono"/>
          <w:sz w:val="17"/>
        </w:rPr>
        <w:t>|       |-- integrations/</w:t>
        <w:br/>
      </w:r>
      <w:r>
        <w:rPr>
          <w:rFonts w:ascii="Cascadia Mono" w:hAnsi="Cascadia Mono"/>
          <w:sz w:val="17"/>
        </w:rPr>
        <w:t>|       `-- cli/</w:t>
        <w:br/>
      </w:r>
      <w:r>
        <w:rPr>
          <w:rFonts w:ascii="Cascadia Mono" w:hAnsi="Cascadia Mono"/>
          <w:sz w:val="17"/>
        </w:rPr>
        <w:t>|-- tests/</w:t>
        <w:br/>
      </w:r>
      <w:r>
        <w:rPr>
          <w:rFonts w:ascii="Cascadia Mono" w:hAnsi="Cascadia Mono"/>
          <w:sz w:val="17"/>
        </w:rPr>
        <w:t>|   |-- unit/</w:t>
        <w:br/>
      </w:r>
      <w:r>
        <w:rPr>
          <w:rFonts w:ascii="Cascadia Mono" w:hAnsi="Cascadia Mono"/>
          <w:sz w:val="17"/>
        </w:rPr>
        <w:t>|   |-- contract/</w:t>
        <w:br/>
      </w:r>
      <w:r>
        <w:rPr>
          <w:rFonts w:ascii="Cascadia Mono" w:hAnsi="Cascadia Mono"/>
          <w:sz w:val="17"/>
        </w:rPr>
        <w:t>|   |-- integration/</w:t>
        <w:br/>
      </w:r>
      <w:r>
        <w:rPr>
          <w:rFonts w:ascii="Cascadia Mono" w:hAnsi="Cascadia Mono"/>
          <w:sz w:val="17"/>
        </w:rPr>
        <w:t>|   |-- e2e/</w:t>
        <w:br/>
      </w:r>
      <w:r>
        <w:rPr>
          <w:rFonts w:ascii="Cascadia Mono" w:hAnsi="Cascadia Mono"/>
          <w:sz w:val="17"/>
        </w:rPr>
        <w:t>|   |-- migrations/</w:t>
        <w:br/>
      </w:r>
      <w:r>
        <w:rPr>
          <w:rFonts w:ascii="Cascadia Mono" w:hAnsi="Cascadia Mono"/>
          <w:sz w:val="17"/>
        </w:rPr>
        <w:t>|   |-- fixtures/</w:t>
        <w:br/>
      </w:r>
      <w:r>
        <w:rPr>
          <w:rFonts w:ascii="Cascadia Mono" w:hAnsi="Cascadia Mono"/>
          <w:sz w:val="17"/>
        </w:rPr>
        <w:t>|   `-- conftest.py</w:t>
        <w:br/>
      </w:r>
      <w:r>
        <w:rPr>
          <w:rFonts w:ascii="Cascadia Mono" w:hAnsi="Cascadia Mono"/>
          <w:sz w:val="17"/>
        </w:rPr>
        <w:t>|-- examples/</w:t>
        <w:br/>
      </w:r>
      <w:r>
        <w:rPr>
          <w:rFonts w:ascii="Cascadia Mono" w:hAnsi="Cascadia Mono"/>
          <w:sz w:val="17"/>
        </w:rPr>
        <w:t>|   |-- minimal_adapter/</w:t>
        <w:br/>
      </w:r>
      <w:r>
        <w:rPr>
          <w:rFonts w:ascii="Cascadia Mono" w:hAnsi="Cascadia Mono"/>
          <w:sz w:val="17"/>
        </w:rPr>
        <w:t>|   |-- reference_rag/</w:t>
        <w:br/>
      </w:r>
      <w:r>
        <w:rPr>
          <w:rFonts w:ascii="Cascadia Mono" w:hAnsi="Cascadia Mono"/>
          <w:sz w:val="17"/>
        </w:rPr>
        <w:t>|   |-- custom_evaluator/</w:t>
        <w:br/>
      </w:r>
      <w:r>
        <w:rPr>
          <w:rFonts w:ascii="Cascadia Mono" w:hAnsi="Cascadia Mono"/>
          <w:sz w:val="17"/>
        </w:rPr>
        <w:t>|   |-- llm_search/</w:t>
        <w:br/>
      </w:r>
      <w:r>
        <w:rPr>
          <w:rFonts w:ascii="Cascadia Mono" w:hAnsi="Cascadia Mono"/>
          <w:sz w:val="17"/>
        </w:rPr>
        <w:t>|   `-- mlflow_tracking/</w:t>
        <w:br/>
      </w:r>
      <w:r>
        <w:rPr>
          <w:rFonts w:ascii="Cascadia Mono" w:hAnsi="Cascadia Mono"/>
          <w:sz w:val="17"/>
        </w:rPr>
        <w:t>|-- docs/</w:t>
        <w:br/>
      </w:r>
      <w:r>
        <w:rPr>
          <w:rFonts w:ascii="Cascadia Mono" w:hAnsi="Cascadia Mono"/>
          <w:sz w:val="17"/>
        </w:rPr>
        <w:t>|   |-- guides/</w:t>
        <w:br/>
      </w:r>
      <w:r>
        <w:rPr>
          <w:rFonts w:ascii="Cascadia Mono" w:hAnsi="Cascadia Mono"/>
          <w:sz w:val="17"/>
        </w:rPr>
        <w:t>|   |-- reference/</w:t>
        <w:br/>
      </w:r>
      <w:r>
        <w:rPr>
          <w:rFonts w:ascii="Cascadia Mono" w:hAnsi="Cascadia Mono"/>
          <w:sz w:val="17"/>
        </w:rPr>
        <w:t>|   |-- concepts/</w:t>
        <w:br/>
      </w:r>
      <w:r>
        <w:rPr>
          <w:rFonts w:ascii="Cascadia Mono" w:hAnsi="Cascadia Mono"/>
          <w:sz w:val="17"/>
        </w:rPr>
        <w:t>|   `-- decisions/</w:t>
        <w:br/>
      </w:r>
      <w:r>
        <w:rPr>
          <w:rFonts w:ascii="Cascadia Mono" w:hAnsi="Cascadia Mono"/>
          <w:sz w:val="17"/>
        </w:rPr>
        <w:t>|-- migrations/</w:t>
        <w:br/>
      </w:r>
      <w:r>
        <w:rPr>
          <w:rFonts w:ascii="Cascadia Mono" w:hAnsi="Cascadia Mono"/>
          <w:sz w:val="17"/>
        </w:rPr>
        <w:t>|-- scripts/</w:t>
        <w:br/>
      </w:r>
      <w:r>
        <w:rPr>
          <w:rFonts w:ascii="Cascadia Mono" w:hAnsi="Cascadia Mono"/>
          <w:sz w:val="17"/>
        </w:rPr>
        <w:t>|-- .github/workflows/</w:t>
        <w:br/>
      </w:r>
      <w:r>
        <w:rPr>
          <w:rFonts w:ascii="Cascadia Mono" w:hAnsi="Cascadia Mono"/>
          <w:sz w:val="17"/>
        </w:rPr>
        <w:t>`-- .changes/</w:t>
      </w:r>
    </w:p>
    <w:p>
      <w:pPr>
        <w:pStyle w:val="Heading1"/>
      </w:pPr>
      <w:r>
        <w:t>Root files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Path</w:t>
            </w:r>
          </w:p>
        </w:tc>
        <w:tc>
          <w:tcPr>
            <w:tcW w:type="dxa" w:w="3331"/>
            <w:shd w:fill="17324D"/>
            <w:tcMar>
              <w:top w:w="115" w:type="dxa"/>
              <w:start w:w="120" w:type="dxa"/>
              <w:bottom w:w="115" w:type="dxa"/>
              <w:end w:w="120" w:type="dxa"/>
            </w:tcMar>
            <w:vAlign w:val="center"/>
          </w:tcPr>
          <w:p>
            <w:r>
              <w:rPr>
                <w:b/>
                <w:color w:val="FFFFFF"/>
                <w:sz w:val="18"/>
              </w:rPr>
              <w:t>Responsibility</w:t>
            </w:r>
          </w:p>
        </w:tc>
        <w:tc>
          <w:tcPr>
            <w:tcW w:type="dxa" w:w="3331"/>
            <w:shd w:fill="17324D"/>
            <w:tcMar>
              <w:top w:w="115" w:type="dxa"/>
              <w:start w:w="120" w:type="dxa"/>
              <w:bottom w:w="115" w:type="dxa"/>
              <w:end w:w="120" w:type="dxa"/>
            </w:tcMar>
            <w:vAlign w:val="center"/>
          </w:tcPr>
          <w:p>
            <w:r>
              <w:rPr>
                <w:b/>
                <w:color w:val="FFFFFF"/>
                <w:sz w:val="18"/>
              </w:rPr>
              <w:t>Notes</w:t>
            </w:r>
          </w:p>
        </w:tc>
      </w:tr>
      <w:tr>
        <w:tc>
          <w:tcPr>
            <w:tcW w:type="dxa" w:w="3331"/>
            <w:tcMar>
              <w:top w:w="100" w:type="dxa"/>
              <w:start w:w="120" w:type="dxa"/>
              <w:bottom w:w="100" w:type="dxa"/>
              <w:end w:w="120" w:type="dxa"/>
            </w:tcMar>
            <w:vAlign w:val="center"/>
          </w:tcPr>
          <w:p>
            <w:pPr>
              <w:spacing w:after="0" w:line="240" w:lineRule="auto"/>
            </w:pPr>
            <w:r>
              <w:rPr>
                <w:sz w:val="17"/>
              </w:rPr>
              <w:t>`pyproject.toml`</w:t>
            </w:r>
          </w:p>
        </w:tc>
        <w:tc>
          <w:tcPr>
            <w:tcW w:type="dxa" w:w="3331"/>
            <w:tcMar>
              <w:top w:w="100" w:type="dxa"/>
              <w:start w:w="120" w:type="dxa"/>
              <w:bottom w:w="100" w:type="dxa"/>
              <w:end w:w="120" w:type="dxa"/>
            </w:tcMar>
            <w:vAlign w:val="center"/>
          </w:tcPr>
          <w:p>
            <w:pPr>
              <w:spacing w:after="0" w:line="240" w:lineRule="auto"/>
            </w:pPr>
            <w:r>
              <w:rPr>
                <w:sz w:val="17"/>
              </w:rPr>
              <w:t>Build metadata, dependencies, extras, entry points, tool configuration</w:t>
            </w:r>
          </w:p>
        </w:tc>
        <w:tc>
          <w:tcPr>
            <w:tcW w:type="dxa" w:w="3331"/>
            <w:tcMar>
              <w:top w:w="100" w:type="dxa"/>
              <w:start w:w="120" w:type="dxa"/>
              <w:bottom w:w="100" w:type="dxa"/>
              <w:end w:w="120" w:type="dxa"/>
            </w:tcMar>
            <w:vAlign w:val="center"/>
          </w:tcPr>
          <w:p>
            <w:pPr>
              <w:spacing w:after="0" w:line="240" w:lineRule="auto"/>
            </w:pPr>
            <w:r>
              <w:rPr>
                <w:sz w:val="17"/>
              </w:rPr>
              <w:t>Single source for package metadata</w:t>
            </w:r>
          </w:p>
        </w:tc>
      </w:tr>
      <w:tr>
        <w:tc>
          <w:tcPr>
            <w:tcW w:type="dxa" w:w="3331"/>
            <w:tcMar>
              <w:top w:w="100" w:type="dxa"/>
              <w:start w:w="120" w:type="dxa"/>
              <w:bottom w:w="100" w:type="dxa"/>
              <w:end w:w="120" w:type="dxa"/>
            </w:tcMar>
            <w:vAlign w:val="center"/>
            <w:shd w:fill="F5F7F8"/>
          </w:tcPr>
          <w:p>
            <w:pPr>
              <w:spacing w:after="0" w:line="240" w:lineRule="auto"/>
            </w:pPr>
            <w:r>
              <w:rPr>
                <w:sz w:val="17"/>
              </w:rPr>
              <w:t>`README.md`</w:t>
            </w:r>
          </w:p>
        </w:tc>
        <w:tc>
          <w:tcPr>
            <w:tcW w:type="dxa" w:w="3331"/>
            <w:tcMar>
              <w:top w:w="100" w:type="dxa"/>
              <w:start w:w="120" w:type="dxa"/>
              <w:bottom w:w="100" w:type="dxa"/>
              <w:end w:w="120" w:type="dxa"/>
            </w:tcMar>
            <w:vAlign w:val="center"/>
            <w:shd w:fill="F5F7F8"/>
          </w:tcPr>
          <w:p>
            <w:pPr>
              <w:spacing w:after="0" w:line="240" w:lineRule="auto"/>
            </w:pPr>
            <w:r>
              <w:rPr>
                <w:sz w:val="17"/>
              </w:rPr>
              <w:t>Installation, minimal example, project status, links</w:t>
            </w:r>
          </w:p>
        </w:tc>
        <w:tc>
          <w:tcPr>
            <w:tcW w:type="dxa" w:w="3331"/>
            <w:tcMar>
              <w:top w:w="100" w:type="dxa"/>
              <w:start w:w="120" w:type="dxa"/>
              <w:bottom w:w="100" w:type="dxa"/>
              <w:end w:w="120" w:type="dxa"/>
            </w:tcMar>
            <w:vAlign w:val="center"/>
            <w:shd w:fill="F5F7F8"/>
          </w:tcPr>
          <w:p>
            <w:pPr>
              <w:spacing w:after="0" w:line="240" w:lineRule="auto"/>
            </w:pPr>
            <w:r>
              <w:rPr>
                <w:sz w:val="17"/>
              </w:rPr>
              <w:t>Does not duplicate full design docs</w:t>
            </w:r>
          </w:p>
        </w:tc>
      </w:tr>
      <w:tr>
        <w:tc>
          <w:tcPr>
            <w:tcW w:type="dxa" w:w="3331"/>
            <w:tcMar>
              <w:top w:w="100" w:type="dxa"/>
              <w:start w:w="120" w:type="dxa"/>
              <w:bottom w:w="100" w:type="dxa"/>
              <w:end w:w="120" w:type="dxa"/>
            </w:tcMar>
            <w:vAlign w:val="center"/>
          </w:tcPr>
          <w:p>
            <w:pPr>
              <w:spacing w:after="0" w:line="240" w:lineRule="auto"/>
            </w:pPr>
            <w:r>
              <w:rPr>
                <w:sz w:val="17"/>
              </w:rPr>
              <w:t>`CHANGELOG.md`</w:t>
            </w:r>
          </w:p>
        </w:tc>
        <w:tc>
          <w:tcPr>
            <w:tcW w:type="dxa" w:w="3331"/>
            <w:tcMar>
              <w:top w:w="100" w:type="dxa"/>
              <w:start w:w="120" w:type="dxa"/>
              <w:bottom w:w="100" w:type="dxa"/>
              <w:end w:w="120" w:type="dxa"/>
            </w:tcMar>
            <w:vAlign w:val="center"/>
          </w:tcPr>
          <w:p>
            <w:pPr>
              <w:spacing w:after="0" w:line="240" w:lineRule="auto"/>
            </w:pPr>
            <w:r>
              <w:rPr>
                <w:sz w:val="17"/>
              </w:rPr>
              <w:t>Released user-visible changes</w:t>
            </w:r>
          </w:p>
        </w:tc>
        <w:tc>
          <w:tcPr>
            <w:tcW w:type="dxa" w:w="3331"/>
            <w:tcMar>
              <w:top w:w="100" w:type="dxa"/>
              <w:start w:w="120" w:type="dxa"/>
              <w:bottom w:w="100" w:type="dxa"/>
              <w:end w:w="120" w:type="dxa"/>
            </w:tcMar>
            <w:vAlign w:val="center"/>
          </w:tcPr>
          <w:p>
            <w:pPr>
              <w:spacing w:after="0" w:line="240" w:lineRule="auto"/>
            </w:pPr>
            <w:r>
              <w:rPr>
                <w:sz w:val="17"/>
              </w:rPr>
              <w:t>Generated or curated from fragments</w:t>
            </w:r>
          </w:p>
        </w:tc>
      </w:tr>
      <w:tr>
        <w:tc>
          <w:tcPr>
            <w:tcW w:type="dxa" w:w="3331"/>
            <w:tcMar>
              <w:top w:w="100" w:type="dxa"/>
              <w:start w:w="120" w:type="dxa"/>
              <w:bottom w:w="100" w:type="dxa"/>
              <w:end w:w="120" w:type="dxa"/>
            </w:tcMar>
            <w:vAlign w:val="center"/>
            <w:shd w:fill="F5F7F8"/>
          </w:tcPr>
          <w:p>
            <w:pPr>
              <w:spacing w:after="0" w:line="240" w:lineRule="auto"/>
            </w:pPr>
            <w:r>
              <w:rPr>
                <w:sz w:val="17"/>
              </w:rPr>
              <w:t>`SECURITY.md`</w:t>
            </w:r>
          </w:p>
        </w:tc>
        <w:tc>
          <w:tcPr>
            <w:tcW w:type="dxa" w:w="3331"/>
            <w:tcMar>
              <w:top w:w="100" w:type="dxa"/>
              <w:start w:w="120" w:type="dxa"/>
              <w:bottom w:w="100" w:type="dxa"/>
              <w:end w:w="120" w:type="dxa"/>
            </w:tcMar>
            <w:vAlign w:val="center"/>
            <w:shd w:fill="F5F7F8"/>
          </w:tcPr>
          <w:p>
            <w:pPr>
              <w:spacing w:after="0" w:line="240" w:lineRule="auto"/>
            </w:pPr>
            <w:r>
              <w:rPr>
                <w:sz w:val="17"/>
              </w:rPr>
              <w:t>Vulnerability reporting and supported versions</w:t>
            </w:r>
          </w:p>
        </w:tc>
        <w:tc>
          <w:tcPr>
            <w:tcW w:type="dxa" w:w="3331"/>
            <w:tcMar>
              <w:top w:w="100" w:type="dxa"/>
              <w:start w:w="120" w:type="dxa"/>
              <w:bottom w:w="100" w:type="dxa"/>
              <w:end w:w="120" w:type="dxa"/>
            </w:tcMar>
            <w:vAlign w:val="center"/>
            <w:shd w:fill="F5F7F8"/>
          </w:tcPr>
          <w:p>
            <w:pPr>
              <w:spacing w:after="0" w:line="240" w:lineRule="auto"/>
            </w:pPr>
            <w:r>
              <w:rPr>
                <w:sz w:val="17"/>
              </w:rPr>
              <w:t>No sensitive issue details</w:t>
            </w:r>
          </w:p>
        </w:tc>
      </w:tr>
      <w:tr>
        <w:tc>
          <w:tcPr>
            <w:tcW w:type="dxa" w:w="3331"/>
            <w:tcMar>
              <w:top w:w="100" w:type="dxa"/>
              <w:start w:w="120" w:type="dxa"/>
              <w:bottom w:w="100" w:type="dxa"/>
              <w:end w:w="120" w:type="dxa"/>
            </w:tcMar>
            <w:vAlign w:val="center"/>
          </w:tcPr>
          <w:p>
            <w:pPr>
              <w:spacing w:after="0" w:line="240" w:lineRule="auto"/>
            </w:pPr>
            <w:r>
              <w:rPr>
                <w:sz w:val="17"/>
              </w:rPr>
              <w:t>`CONTRIBUTING.md`</w:t>
            </w:r>
          </w:p>
        </w:tc>
        <w:tc>
          <w:tcPr>
            <w:tcW w:type="dxa" w:w="3331"/>
            <w:tcMar>
              <w:top w:w="100" w:type="dxa"/>
              <w:start w:w="120" w:type="dxa"/>
              <w:bottom w:w="100" w:type="dxa"/>
              <w:end w:w="120" w:type="dxa"/>
            </w:tcMar>
            <w:vAlign w:val="center"/>
          </w:tcPr>
          <w:p>
            <w:pPr>
              <w:spacing w:after="0" w:line="240" w:lineRule="auto"/>
            </w:pPr>
            <w:r>
              <w:rPr>
                <w:sz w:val="17"/>
              </w:rPr>
              <w:t>Setup, tests, style, release contribution flow</w:t>
            </w:r>
          </w:p>
        </w:tc>
        <w:tc>
          <w:tcPr>
            <w:tcW w:type="dxa" w:w="3331"/>
            <w:tcMar>
              <w:top w:w="100" w:type="dxa"/>
              <w:start w:w="120" w:type="dxa"/>
              <w:bottom w:w="100" w:type="dxa"/>
              <w:end w:w="120" w:type="dxa"/>
            </w:tcMar>
            <w:vAlign w:val="center"/>
          </w:tcPr>
          <w:p>
            <w:pPr>
              <w:spacing w:after="0" w:line="240" w:lineRule="auto"/>
            </w:pPr>
            <w:r>
              <w:rPr>
                <w:sz w:val="17"/>
              </w:rPr>
              <w:t>Points to Coding Conventions</w:t>
            </w:r>
          </w:p>
        </w:tc>
      </w:tr>
      <w:tr>
        <w:tc>
          <w:tcPr>
            <w:tcW w:type="dxa" w:w="3331"/>
            <w:tcMar>
              <w:top w:w="100" w:type="dxa"/>
              <w:start w:w="120" w:type="dxa"/>
              <w:bottom w:w="100" w:type="dxa"/>
              <w:end w:w="120" w:type="dxa"/>
            </w:tcMar>
            <w:vAlign w:val="center"/>
            <w:shd w:fill="F5F7F8"/>
          </w:tcPr>
          <w:p>
            <w:pPr>
              <w:spacing w:after="0" w:line="240" w:lineRule="auto"/>
            </w:pPr>
            <w:r>
              <w:rPr>
                <w:sz w:val="17"/>
              </w:rPr>
              <w:t>`LICENSE`</w:t>
            </w:r>
          </w:p>
        </w:tc>
        <w:tc>
          <w:tcPr>
            <w:tcW w:type="dxa" w:w="3331"/>
            <w:tcMar>
              <w:top w:w="100" w:type="dxa"/>
              <w:start w:w="120" w:type="dxa"/>
              <w:bottom w:w="100" w:type="dxa"/>
              <w:end w:w="120" w:type="dxa"/>
            </w:tcMar>
            <w:vAlign w:val="center"/>
            <w:shd w:fill="F5F7F8"/>
          </w:tcPr>
          <w:p>
            <w:pPr>
              <w:spacing w:after="0" w:line="240" w:lineRule="auto"/>
            </w:pPr>
            <w:r>
              <w:rPr>
                <w:sz w:val="17"/>
              </w:rPr>
              <w:t>Distribution license</w:t>
            </w:r>
          </w:p>
        </w:tc>
        <w:tc>
          <w:tcPr>
            <w:tcW w:type="dxa" w:w="3331"/>
            <w:tcMar>
              <w:top w:w="100" w:type="dxa"/>
              <w:start w:w="120" w:type="dxa"/>
              <w:bottom w:w="100" w:type="dxa"/>
              <w:end w:w="120" w:type="dxa"/>
            </w:tcMar>
            <w:vAlign w:val="center"/>
            <w:shd w:fill="F5F7F8"/>
          </w:tcPr>
          <w:p>
            <w:pPr>
              <w:spacing w:after="0" w:line="240" w:lineRule="auto"/>
            </w:pPr>
            <w:r>
              <w:rPr>
                <w:sz w:val="17"/>
              </w:rPr>
              <w:t>Selected before public release</w:t>
            </w:r>
          </w:p>
        </w:tc>
      </w:tr>
    </w:tbl>
    <w:p>
      <w:pPr>
        <w:spacing w:after="20"/>
      </w:pPr>
    </w:p>
    <w:p>
      <w:pPr>
        <w:pStyle w:val="Heading1"/>
      </w:pPr>
      <w:r>
        <w:t>Installable package</w:t>
      </w:r>
    </w:p>
    <w:p>
      <w:pPr>
        <w:pStyle w:val="Heading2"/>
      </w:pPr>
      <w:r>
        <w:t>Top level files</w:t>
      </w:r>
    </w:p>
    <w:p>
      <w:r>
        <w:rPr>
          <w:rFonts w:ascii="Cascadia Mono" w:hAnsi="Cascadia Mono"/>
          <w:sz w:val="18"/>
        </w:rPr>
        <w:t>src/autorag_tuner/__init__.py</w:t>
      </w:r>
      <w:r>
        <w:t xml:space="preserve"> re-exports the documented common API and contains no construction side effects. </w:t>
      </w:r>
      <w:r>
        <w:rPr>
          <w:rFonts w:ascii="Cascadia Mono" w:hAnsi="Cascadia Mono"/>
          <w:sz w:val="18"/>
        </w:rPr>
        <w:t>py.typed</w:t>
      </w:r>
      <w:r>
        <w:t xml:space="preserve"> marks inline typing support. </w:t>
      </w:r>
      <w:r>
        <w:rPr>
          <w:rFonts w:ascii="Cascadia Mono" w:hAnsi="Cascadia Mono"/>
          <w:sz w:val="18"/>
        </w:rPr>
        <w:t>_version.py</w:t>
      </w:r>
      <w:r>
        <w:t xml:space="preserve"> is generated or centrally maintained and is not imported through metadata that triggers heavy package imports.</w:t>
      </w:r>
    </w:p>
    <w:p>
      <w:pPr>
        <w:pStyle w:val="Heading2"/>
      </w:pPr>
      <w:r>
        <w:t>api</w:t>
      </w:r>
    </w:p>
    <w:p>
      <w:r>
        <w:t xml:space="preserve">The </w:t>
      </w:r>
      <w:r>
        <w:rPr>
          <w:rFonts w:ascii="Cascadia Mono" w:hAnsi="Cascadia Mono"/>
          <w:sz w:val="18"/>
        </w:rPr>
        <w:t>api</w:t>
      </w:r>
      <w:r>
        <w:t xml:space="preserve"> package contains the </w:t>
      </w:r>
      <w:r>
        <w:rPr>
          <w:rFonts w:ascii="Cascadia Mono" w:hAnsi="Cascadia Mono"/>
          <w:sz w:val="18"/>
        </w:rPr>
        <w:t>Optimizer</w:t>
      </w:r>
      <w:r>
        <w:t xml:space="preserve"> facade, synchronous bridge, public result builders, and carefully selected convenience factories. It may coordinate core services but should not contain database SQL, provider clients, or metric implementations.</w:t>
      </w:r>
    </w:p>
    <w:p>
      <w:pPr>
        <w:spacing w:before="80" w:after="140" w:line="240" w:lineRule="auto"/>
        <w:ind w:left="360" w:right="216"/>
      </w:pPr>
      <w:r>
        <w:rPr>
          <w:rFonts w:ascii="Cascadia Mono" w:hAnsi="Cascadia Mono"/>
          <w:sz w:val="17"/>
        </w:rPr>
        <w:t>api/</w:t>
        <w:br/>
      </w:r>
      <w:r>
        <w:rPr>
          <w:rFonts w:ascii="Cascadia Mono" w:hAnsi="Cascadia Mono"/>
          <w:sz w:val="17"/>
        </w:rPr>
        <w:t>|-- optimizer.py</w:t>
        <w:br/>
      </w:r>
      <w:r>
        <w:rPr>
          <w:rFonts w:ascii="Cascadia Mono" w:hAnsi="Cascadia Mono"/>
          <w:sz w:val="17"/>
        </w:rPr>
        <w:t>|-- result.py</w:t>
        <w:br/>
      </w:r>
      <w:r>
        <w:rPr>
          <w:rFonts w:ascii="Cascadia Mono" w:hAnsi="Cascadia Mono"/>
          <w:sz w:val="17"/>
        </w:rPr>
        <w:t>|-- sync.py</w:t>
        <w:br/>
      </w:r>
      <w:r>
        <w:rPr>
          <w:rFonts w:ascii="Cascadia Mono" w:hAnsi="Cascadia Mono"/>
          <w:sz w:val="17"/>
        </w:rPr>
        <w:t>`-- factories.py</w:t>
      </w:r>
    </w:p>
    <w:p>
      <w:pPr>
        <w:pStyle w:val="Heading2"/>
      </w:pPr>
      <w:r>
        <w:t>domain</w:t>
      </w:r>
    </w:p>
    <w:p>
      <w:r>
        <w:t xml:space="preserve">The </w:t>
      </w:r>
      <w:r>
        <w:rPr>
          <w:rFonts w:ascii="Cascadia Mono" w:hAnsi="Cascadia Mono"/>
          <w:sz w:val="18"/>
        </w:rPr>
        <w:t>domain</w:t>
      </w:r>
      <w:r>
        <w:t xml:space="preserve"> package contains immutable models, enums, identifiers, errors, fingerprints, usage values, and serialization schemas. It is the innermost package layer.</w:t>
      </w:r>
    </w:p>
    <w:p>
      <w:pPr>
        <w:spacing w:before="80" w:after="140" w:line="240" w:lineRule="auto"/>
        <w:ind w:left="360" w:right="216"/>
      </w:pPr>
      <w:r>
        <w:rPr>
          <w:rFonts w:ascii="Cascadia Mono" w:hAnsi="Cascadia Mono"/>
          <w:sz w:val="17"/>
        </w:rPr>
        <w:t>domain/</w:t>
        <w:br/>
      </w:r>
      <w:r>
        <w:rPr>
          <w:rFonts w:ascii="Cascadia Mono" w:hAnsi="Cascadia Mono"/>
          <w:sz w:val="17"/>
        </w:rPr>
        <w:t>|-- studies.py</w:t>
        <w:br/>
      </w:r>
      <w:r>
        <w:rPr>
          <w:rFonts w:ascii="Cascadia Mono" w:hAnsi="Cascadia Mono"/>
          <w:sz w:val="17"/>
        </w:rPr>
        <w:t>|-- trials.py</w:t>
        <w:br/>
      </w:r>
      <w:r>
        <w:rPr>
          <w:rFonts w:ascii="Cascadia Mono" w:hAnsi="Cascadia Mono"/>
          <w:sz w:val="17"/>
        </w:rPr>
        <w:t>|-- datasets.py</w:t>
        <w:br/>
      </w:r>
      <w:r>
        <w:rPr>
          <w:rFonts w:ascii="Cascadia Mono" w:hAnsi="Cascadia Mono"/>
          <w:sz w:val="17"/>
        </w:rPr>
        <w:t>|-- metrics.py</w:t>
        <w:br/>
      </w:r>
      <w:r>
        <w:rPr>
          <w:rFonts w:ascii="Cascadia Mono" w:hAnsi="Cascadia Mono"/>
          <w:sz w:val="17"/>
        </w:rPr>
        <w:t>|-- usage.py</w:t>
        <w:br/>
      </w:r>
      <w:r>
        <w:rPr>
          <w:rFonts w:ascii="Cascadia Mono" w:hAnsi="Cascadia Mono"/>
          <w:sz w:val="17"/>
        </w:rPr>
        <w:t>|-- events.py</w:t>
        <w:br/>
      </w:r>
      <w:r>
        <w:rPr>
          <w:rFonts w:ascii="Cascadia Mono" w:hAnsi="Cascadia Mono"/>
          <w:sz w:val="17"/>
        </w:rPr>
        <w:t>|-- errors.py</w:t>
        <w:br/>
      </w:r>
      <w:r>
        <w:rPr>
          <w:rFonts w:ascii="Cascadia Mono" w:hAnsi="Cascadia Mono"/>
          <w:sz w:val="17"/>
        </w:rPr>
        <w:t>|-- json_types.py</w:t>
        <w:br/>
      </w:r>
      <w:r>
        <w:rPr>
          <w:rFonts w:ascii="Cascadia Mono" w:hAnsi="Cascadia Mono"/>
          <w:sz w:val="17"/>
        </w:rPr>
        <w:t>`-- fingerprints.py</w:t>
      </w:r>
    </w:p>
    <w:p>
      <w:pPr>
        <w:pStyle w:val="Heading2"/>
      </w:pPr>
      <w:r>
        <w:t>core</w:t>
      </w:r>
    </w:p>
    <w:p>
      <w:r>
        <w:t xml:space="preserve">The </w:t>
      </w:r>
      <w:r>
        <w:rPr>
          <w:rFonts w:ascii="Cascadia Mono" w:hAnsi="Cascadia Mono"/>
          <w:sz w:val="18"/>
        </w:rPr>
        <w:t>core</w:t>
      </w:r>
      <w:r>
        <w:t xml:space="preserve"> package implements study orchestration, scheduling, trial execution, retries, aggregation, stopping, resume reconstruction, and result selection. Files are organized by responsibility, not by generic services.</w:t>
      </w:r>
    </w:p>
    <w:p>
      <w:pPr>
        <w:spacing w:before="80" w:after="140" w:line="240" w:lineRule="auto"/>
        <w:ind w:left="360" w:right="216"/>
      </w:pPr>
      <w:r>
        <w:rPr>
          <w:rFonts w:ascii="Cascadia Mono" w:hAnsi="Cascadia Mono"/>
          <w:sz w:val="17"/>
        </w:rPr>
        <w:t>core/</w:t>
        <w:br/>
      </w:r>
      <w:r>
        <w:rPr>
          <w:rFonts w:ascii="Cascadia Mono" w:hAnsi="Cascadia Mono"/>
          <w:sz w:val="17"/>
        </w:rPr>
        <w:t>|-- study_controller.py</w:t>
        <w:br/>
      </w:r>
      <w:r>
        <w:rPr>
          <w:rFonts w:ascii="Cascadia Mono" w:hAnsi="Cascadia Mono"/>
          <w:sz w:val="17"/>
        </w:rPr>
        <w:t>|-- scheduler.py</w:t>
        <w:br/>
      </w:r>
      <w:r>
        <w:rPr>
          <w:rFonts w:ascii="Cascadia Mono" w:hAnsi="Cascadia Mono"/>
          <w:sz w:val="17"/>
        </w:rPr>
        <w:t>|-- trial_runner.py</w:t>
        <w:br/>
      </w:r>
      <w:r>
        <w:rPr>
          <w:rFonts w:ascii="Cascadia Mono" w:hAnsi="Cascadia Mono"/>
          <w:sz w:val="17"/>
        </w:rPr>
        <w:t>|-- sample_runner.py</w:t>
        <w:br/>
      </w:r>
      <w:r>
        <w:rPr>
          <w:rFonts w:ascii="Cascadia Mono" w:hAnsi="Cascadia Mono"/>
          <w:sz w:val="17"/>
        </w:rPr>
        <w:t>|-- retry.py</w:t>
        <w:br/>
      </w:r>
      <w:r>
        <w:rPr>
          <w:rFonts w:ascii="Cascadia Mono" w:hAnsi="Cascadia Mono"/>
          <w:sz w:val="17"/>
        </w:rPr>
        <w:t>|-- aggregation.py</w:t>
        <w:br/>
      </w:r>
      <w:r>
        <w:rPr>
          <w:rFonts w:ascii="Cascadia Mono" w:hAnsi="Cascadia Mono"/>
          <w:sz w:val="17"/>
        </w:rPr>
        <w:t>|-- stopping.py</w:t>
        <w:br/>
      </w:r>
      <w:r>
        <w:rPr>
          <w:rFonts w:ascii="Cascadia Mono" w:hAnsi="Cascadia Mono"/>
          <w:sz w:val="17"/>
        </w:rPr>
        <w:t>|-- resume.py</w:t>
        <w:br/>
      </w:r>
      <w:r>
        <w:rPr>
          <w:rFonts w:ascii="Cascadia Mono" w:hAnsi="Cascadia Mono"/>
          <w:sz w:val="17"/>
        </w:rPr>
        <w:t>`-- selection.py</w:t>
      </w:r>
    </w:p>
    <w:p>
      <w:pPr>
        <w:pStyle w:val="Heading2"/>
      </w:pPr>
      <w:r>
        <w:t>search_space</w:t>
      </w:r>
    </w:p>
    <w:p>
      <w:r>
        <w:t>Contains parameter classes, conditional resolution, candidate validation, canonical serialization, hashing, and deterministic sampling helpers. It does not contain search strategy policy.</w:t>
      </w:r>
    </w:p>
    <w:p>
      <w:pPr>
        <w:pStyle w:val="Heading2"/>
      </w:pPr>
      <w:r>
        <w:t>strategies</w:t>
      </w:r>
    </w:p>
    <w:p>
      <w:r>
        <w:t xml:space="preserve">Contains the strategy protocol and implementations. </w:t>
      </w:r>
      <w:r>
        <w:rPr>
          <w:rFonts w:ascii="Cascadia Mono" w:hAnsi="Cascadia Mono"/>
          <w:sz w:val="18"/>
        </w:rPr>
        <w:t>random.py</w:t>
      </w:r>
      <w:r>
        <w:t xml:space="preserve"> has no provider dependency. </w:t>
      </w:r>
      <w:r>
        <w:rPr>
          <w:rFonts w:ascii="Cascadia Mono" w:hAnsi="Cascadia Mono"/>
          <w:sz w:val="18"/>
        </w:rPr>
        <w:t>llm/</w:t>
      </w:r>
      <w:r>
        <w:t xml:space="preserve"> contains prompt state, structured output schemas, history summarization, and provider-neutral client protocol. Provider adapters belong under integrations.</w:t>
      </w:r>
    </w:p>
    <w:p>
      <w:pPr>
        <w:spacing w:before="80" w:after="140" w:line="240" w:lineRule="auto"/>
        <w:ind w:left="360" w:right="216"/>
      </w:pPr>
      <w:r>
        <w:rPr>
          <w:rFonts w:ascii="Cascadia Mono" w:hAnsi="Cascadia Mono"/>
          <w:sz w:val="17"/>
        </w:rPr>
        <w:t>strategies/</w:t>
        <w:br/>
      </w:r>
      <w:r>
        <w:rPr>
          <w:rFonts w:ascii="Cascadia Mono" w:hAnsi="Cascadia Mono"/>
          <w:sz w:val="17"/>
        </w:rPr>
        <w:t>|-- base.py</w:t>
        <w:br/>
      </w:r>
      <w:r>
        <w:rPr>
          <w:rFonts w:ascii="Cascadia Mono" w:hAnsi="Cascadia Mono"/>
          <w:sz w:val="17"/>
        </w:rPr>
        <w:t>|-- random.py</w:t>
        <w:br/>
      </w:r>
      <w:r>
        <w:rPr>
          <w:rFonts w:ascii="Cascadia Mono" w:hAnsi="Cascadia Mono"/>
          <w:sz w:val="17"/>
        </w:rPr>
        <w:t>`-- llm/</w:t>
        <w:br/>
      </w:r>
      <w:r>
        <w:rPr>
          <w:rFonts w:ascii="Cascadia Mono" w:hAnsi="Cascadia Mono"/>
          <w:sz w:val="17"/>
        </w:rPr>
        <w:t xml:space="preserve">    |-- strategy.py</w:t>
        <w:br/>
      </w:r>
      <w:r>
        <w:rPr>
          <w:rFonts w:ascii="Cascadia Mono" w:hAnsi="Cascadia Mono"/>
          <w:sz w:val="17"/>
        </w:rPr>
        <w:t xml:space="preserve">    |-- summary.py</w:t>
        <w:br/>
      </w:r>
      <w:r>
        <w:rPr>
          <w:rFonts w:ascii="Cascadia Mono" w:hAnsi="Cascadia Mono"/>
          <w:sz w:val="17"/>
        </w:rPr>
        <w:t xml:space="preserve">    |-- prompts.py</w:t>
        <w:br/>
      </w:r>
      <w:r>
        <w:rPr>
          <w:rFonts w:ascii="Cascadia Mono" w:hAnsi="Cascadia Mono"/>
          <w:sz w:val="17"/>
        </w:rPr>
        <w:t xml:space="preserve">    `-- schemas.py</w:t>
      </w:r>
    </w:p>
    <w:p>
      <w:pPr>
        <w:pStyle w:val="Heading2"/>
      </w:pPr>
      <w:r>
        <w:t>evaluators</w:t>
      </w:r>
    </w:p>
    <w:p>
      <w:r>
        <w:t>Contains the evaluator protocol, metric validation, evaluator pipeline, aggregation metadata, and simple built-in evaluators with no heavy dependencies. RAGAS belongs under integrations.</w:t>
      </w:r>
    </w:p>
    <w:p>
      <w:pPr>
        <w:pStyle w:val="Heading2"/>
      </w:pPr>
      <w:r>
        <w:t>objectives</w:t>
      </w:r>
    </w:p>
    <w:p>
      <w:r>
        <w:t>Contains objective protocol, metric objective, weighted objective, callable wrapper, normalization, constraints, and objective serialization. Objective code is pure and deterministic for persisted inputs.</w:t>
      </w:r>
    </w:p>
    <w:p>
      <w:pPr>
        <w:pStyle w:val="Heading2"/>
      </w:pPr>
      <w:r>
        <w:t>stores</w:t>
      </w:r>
    </w:p>
    <w:p>
      <w:r>
        <w:t>Contains the experiment store protocol, SQLite implementation, transaction helpers, row mappers, and migration runner. SQL is localized under the SQLite package.</w:t>
      </w:r>
    </w:p>
    <w:p>
      <w:pPr>
        <w:spacing w:before="80" w:after="140" w:line="240" w:lineRule="auto"/>
        <w:ind w:left="360" w:right="216"/>
      </w:pPr>
      <w:r>
        <w:rPr>
          <w:rFonts w:ascii="Cascadia Mono" w:hAnsi="Cascadia Mono"/>
          <w:sz w:val="17"/>
        </w:rPr>
        <w:t>stores/</w:t>
        <w:br/>
      </w:r>
      <w:r>
        <w:rPr>
          <w:rFonts w:ascii="Cascadia Mono" w:hAnsi="Cascadia Mono"/>
          <w:sz w:val="17"/>
        </w:rPr>
        <w:t>|-- base.py</w:t>
        <w:br/>
      </w:r>
      <w:r>
        <w:rPr>
          <w:rFonts w:ascii="Cascadia Mono" w:hAnsi="Cascadia Mono"/>
          <w:sz w:val="17"/>
        </w:rPr>
        <w:t>`-- sqlite/</w:t>
        <w:br/>
      </w:r>
      <w:r>
        <w:rPr>
          <w:rFonts w:ascii="Cascadia Mono" w:hAnsi="Cascadia Mono"/>
          <w:sz w:val="17"/>
        </w:rPr>
        <w:t xml:space="preserve">    |-- store.py</w:t>
        <w:br/>
      </w:r>
      <w:r>
        <w:rPr>
          <w:rFonts w:ascii="Cascadia Mono" w:hAnsi="Cascadia Mono"/>
          <w:sz w:val="17"/>
        </w:rPr>
        <w:t xml:space="preserve">    |-- connection.py</w:t>
        <w:br/>
      </w:r>
      <w:r>
        <w:rPr>
          <w:rFonts w:ascii="Cascadia Mono" w:hAnsi="Cascadia Mono"/>
          <w:sz w:val="17"/>
        </w:rPr>
        <w:t xml:space="preserve">    |-- transactions.py</w:t>
        <w:br/>
      </w:r>
      <w:r>
        <w:rPr>
          <w:rFonts w:ascii="Cascadia Mono" w:hAnsi="Cascadia Mono"/>
          <w:sz w:val="17"/>
        </w:rPr>
        <w:t xml:space="preserve">    |-- mappers.py</w:t>
        <w:br/>
      </w:r>
      <w:r>
        <w:rPr>
          <w:rFonts w:ascii="Cascadia Mono" w:hAnsi="Cascadia Mono"/>
          <w:sz w:val="17"/>
        </w:rPr>
        <w:t xml:space="preserve">    `-- migrations.py</w:t>
      </w:r>
    </w:p>
    <w:p>
      <w:r>
        <w:t xml:space="preserve">Migration SQL files remain at repository </w:t>
      </w:r>
      <w:r>
        <w:rPr>
          <w:rFonts w:ascii="Cascadia Mono" w:hAnsi="Cascadia Mono"/>
          <w:sz w:val="18"/>
        </w:rPr>
        <w:t>migrations/</w:t>
      </w:r>
      <w:r>
        <w:t xml:space="preserve"> so release tooling and audits can access them without importing Python modules. Packaged wheel data includes them.</w:t>
      </w:r>
    </w:p>
    <w:p>
      <w:pPr>
        <w:pStyle w:val="Heading2"/>
      </w:pPr>
      <w:r>
        <w:t>cache</w:t>
      </w:r>
    </w:p>
    <w:p>
      <w:r>
        <w:t>Contains cache protocol, key construction, serialization registry, local payload storage, integrity checks, quotas, and cleanup. It may use the store for metadata but cannot import trial orchestration.</w:t>
      </w:r>
    </w:p>
    <w:p>
      <w:pPr>
        <w:pStyle w:val="Heading2"/>
      </w:pPr>
      <w:r>
        <w:t>events</w:t>
      </w:r>
    </w:p>
    <w:p>
      <w:r>
        <w:t xml:space="preserve">Contains callback protocol, dispatcher, event filtering, and built-in logging or progress callbacks. Domain event models remain in </w:t>
      </w:r>
      <w:r>
        <w:rPr>
          <w:rFonts w:ascii="Cascadia Mono" w:hAnsi="Cascadia Mono"/>
          <w:sz w:val="18"/>
        </w:rPr>
        <w:t>domain/events.py</w:t>
      </w:r>
      <w:r>
        <w:t xml:space="preserve"> to avoid a reverse dependency.</w:t>
      </w:r>
    </w:p>
    <w:p>
      <w:pPr>
        <w:pStyle w:val="Heading2"/>
      </w:pPr>
      <w:r>
        <w:t>config</w:t>
      </w:r>
    </w:p>
    <w:p>
      <w:r>
        <w:t>Contains settings models, environment and TOML loaders, resolution provenance, validation, and redacted display. It must not instantiate optional integrations during parsing.</w:t>
      </w:r>
    </w:p>
    <w:p>
      <w:pPr>
        <w:pStyle w:val="Heading2"/>
      </w:pPr>
      <w:r>
        <w:t>integrations</w:t>
      </w:r>
    </w:p>
    <w:p>
      <w:r>
        <w:t>Each optional integration is self-contained and import-safe when its dependency is absent.</w:t>
      </w:r>
    </w:p>
    <w:p>
      <w:pPr>
        <w:spacing w:before="80" w:after="140" w:line="240" w:lineRule="auto"/>
        <w:ind w:left="360" w:right="216"/>
      </w:pPr>
      <w:r>
        <w:rPr>
          <w:rFonts w:ascii="Cascadia Mono" w:hAnsi="Cascadia Mono"/>
          <w:sz w:val="17"/>
        </w:rPr>
        <w:t>integrations/</w:t>
        <w:br/>
      </w:r>
      <w:r>
        <w:rPr>
          <w:rFonts w:ascii="Cascadia Mono" w:hAnsi="Cascadia Mono"/>
          <w:sz w:val="17"/>
        </w:rPr>
        <w:t>|-- ragas/</w:t>
        <w:br/>
      </w:r>
      <w:r>
        <w:rPr>
          <w:rFonts w:ascii="Cascadia Mono" w:hAnsi="Cascadia Mono"/>
          <w:sz w:val="17"/>
        </w:rPr>
        <w:t>|   |-- evaluator.py</w:t>
        <w:br/>
      </w:r>
      <w:r>
        <w:rPr>
          <w:rFonts w:ascii="Cascadia Mono" w:hAnsi="Cascadia Mono"/>
          <w:sz w:val="17"/>
        </w:rPr>
        <w:t>|   |-- conversion.py</w:t>
        <w:br/>
      </w:r>
      <w:r>
        <w:rPr>
          <w:rFonts w:ascii="Cascadia Mono" w:hAnsi="Cascadia Mono"/>
          <w:sz w:val="17"/>
        </w:rPr>
        <w:t>|   `-- errors.py</w:t>
        <w:br/>
      </w:r>
      <w:r>
        <w:rPr>
          <w:rFonts w:ascii="Cascadia Mono" w:hAnsi="Cascadia Mono"/>
          <w:sz w:val="17"/>
        </w:rPr>
        <w:t>|-- mlflow/</w:t>
        <w:br/>
      </w:r>
      <w:r>
        <w:rPr>
          <w:rFonts w:ascii="Cascadia Mono" w:hAnsi="Cascadia Mono"/>
          <w:sz w:val="17"/>
        </w:rPr>
        <w:t>|   |-- callback.py</w:t>
        <w:br/>
      </w:r>
      <w:r>
        <w:rPr>
          <w:rFonts w:ascii="Cascadia Mono" w:hAnsi="Cascadia Mono"/>
          <w:sz w:val="17"/>
        </w:rPr>
        <w:t>|   `-- mapping.py</w:t>
        <w:br/>
      </w:r>
      <w:r>
        <w:rPr>
          <w:rFonts w:ascii="Cascadia Mono" w:hAnsi="Cascadia Mono"/>
          <w:sz w:val="17"/>
        </w:rPr>
        <w:t>`-- providers/</w:t>
        <w:br/>
      </w:r>
      <w:r>
        <w:rPr>
          <w:rFonts w:ascii="Cascadia Mono" w:hAnsi="Cascadia Mono"/>
          <w:sz w:val="17"/>
        </w:rPr>
        <w:t xml:space="preserve">    |-- openai_compatible.py</w:t>
        <w:br/>
      </w:r>
      <w:r>
        <w:rPr>
          <w:rFonts w:ascii="Cascadia Mono" w:hAnsi="Cascadia Mono"/>
          <w:sz w:val="17"/>
        </w:rPr>
        <w:t xml:space="preserve">    `-- pricing.py</w:t>
      </w:r>
    </w:p>
    <w:p>
      <w:r>
        <w:t xml:space="preserve">Future </w:t>
      </w:r>
      <w:r>
        <w:rPr>
          <w:rFonts w:ascii="Cascadia Mono" w:hAnsi="Cascadia Mono"/>
          <w:sz w:val="18"/>
        </w:rPr>
        <w:t>langchain</w:t>
      </w:r>
      <w:r>
        <w:t xml:space="preserve"> and </w:t>
      </w:r>
      <w:r>
        <w:rPr>
          <w:rFonts w:ascii="Cascadia Mono" w:hAnsi="Cascadia Mono"/>
          <w:sz w:val="18"/>
        </w:rPr>
        <w:t>llamaindex</w:t>
      </w:r>
      <w:r>
        <w:t xml:space="preserve"> integrations enter here only after their contracts stabilize. Early adapters may live in examples to avoid premature compatibility promises.</w:t>
      </w:r>
    </w:p>
    <w:p>
      <w:pPr>
        <w:pStyle w:val="Heading2"/>
      </w:pPr>
      <w:r>
        <w:t>cli</w:t>
      </w:r>
    </w:p>
    <w:p>
      <w:r>
        <w:t>The CLI parses user input, loads application-level config, constructs public components, renders progress, and maps package errors to exit codes. It does not bypass the public facade or query SQLite tables directly.</w:t>
      </w:r>
    </w:p>
    <w:p>
      <w:pPr>
        <w:pStyle w:val="Heading1"/>
      </w:pPr>
      <w:r>
        <w:t>Tests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Folder</w:t>
            </w:r>
          </w:p>
        </w:tc>
        <w:tc>
          <w:tcPr>
            <w:tcW w:type="dxa" w:w="3331"/>
            <w:shd w:fill="17324D"/>
            <w:tcMar>
              <w:top w:w="115" w:type="dxa"/>
              <w:start w:w="120" w:type="dxa"/>
              <w:bottom w:w="115" w:type="dxa"/>
              <w:end w:w="120" w:type="dxa"/>
            </w:tcMar>
            <w:vAlign w:val="center"/>
          </w:tcPr>
          <w:p>
            <w:r>
              <w:rPr>
                <w:b/>
                <w:color w:val="FFFFFF"/>
                <w:sz w:val="18"/>
              </w:rPr>
              <w:t>Purpose</w:t>
            </w:r>
          </w:p>
        </w:tc>
        <w:tc>
          <w:tcPr>
            <w:tcW w:type="dxa" w:w="3331"/>
            <w:shd w:fill="17324D"/>
            <w:tcMar>
              <w:top w:w="115" w:type="dxa"/>
              <w:start w:w="120" w:type="dxa"/>
              <w:bottom w:w="115" w:type="dxa"/>
              <w:end w:w="120" w:type="dxa"/>
            </w:tcMar>
            <w:vAlign w:val="center"/>
          </w:tcPr>
          <w:p>
            <w:r>
              <w:rPr>
                <w:b/>
                <w:color w:val="FFFFFF"/>
                <w:sz w:val="18"/>
              </w:rPr>
              <w:t>Allowed dependencies</w:t>
            </w:r>
          </w:p>
        </w:tc>
      </w:tr>
      <w:tr>
        <w:tc>
          <w:tcPr>
            <w:tcW w:type="dxa" w:w="3331"/>
            <w:tcMar>
              <w:top w:w="100" w:type="dxa"/>
              <w:start w:w="120" w:type="dxa"/>
              <w:bottom w:w="100" w:type="dxa"/>
              <w:end w:w="120" w:type="dxa"/>
            </w:tcMar>
            <w:vAlign w:val="center"/>
          </w:tcPr>
          <w:p>
            <w:pPr>
              <w:spacing w:after="0" w:line="240" w:lineRule="auto"/>
            </w:pPr>
            <w:r>
              <w:rPr>
                <w:sz w:val="17"/>
              </w:rPr>
              <w:t>`tests/unit`</w:t>
            </w:r>
          </w:p>
        </w:tc>
        <w:tc>
          <w:tcPr>
            <w:tcW w:type="dxa" w:w="3331"/>
            <w:tcMar>
              <w:top w:w="100" w:type="dxa"/>
              <w:start w:w="120" w:type="dxa"/>
              <w:bottom w:w="100" w:type="dxa"/>
              <w:end w:w="120" w:type="dxa"/>
            </w:tcMar>
            <w:vAlign w:val="center"/>
          </w:tcPr>
          <w:p>
            <w:pPr>
              <w:spacing w:after="0" w:line="240" w:lineRule="auto"/>
            </w:pPr>
            <w:r>
              <w:rPr>
                <w:sz w:val="17"/>
              </w:rPr>
              <w:t>Pure component behavior</w:t>
            </w:r>
          </w:p>
        </w:tc>
        <w:tc>
          <w:tcPr>
            <w:tcW w:type="dxa" w:w="3331"/>
            <w:tcMar>
              <w:top w:w="100" w:type="dxa"/>
              <w:start w:w="120" w:type="dxa"/>
              <w:bottom w:w="100" w:type="dxa"/>
              <w:end w:w="120" w:type="dxa"/>
            </w:tcMar>
            <w:vAlign w:val="center"/>
          </w:tcPr>
          <w:p>
            <w:pPr>
              <w:spacing w:after="0" w:line="240" w:lineRule="auto"/>
            </w:pPr>
            <w:r>
              <w:rPr>
                <w:sz w:val="17"/>
              </w:rPr>
              <w:t>Test utilities only</w:t>
            </w:r>
          </w:p>
        </w:tc>
      </w:tr>
      <w:tr>
        <w:tc>
          <w:tcPr>
            <w:tcW w:type="dxa" w:w="3331"/>
            <w:tcMar>
              <w:top w:w="100" w:type="dxa"/>
              <w:start w:w="120" w:type="dxa"/>
              <w:bottom w:w="100" w:type="dxa"/>
              <w:end w:w="120" w:type="dxa"/>
            </w:tcMar>
            <w:vAlign w:val="center"/>
            <w:shd w:fill="F5F7F8"/>
          </w:tcPr>
          <w:p>
            <w:pPr>
              <w:spacing w:after="0" w:line="240" w:lineRule="auto"/>
            </w:pPr>
            <w:r>
              <w:rPr>
                <w:sz w:val="17"/>
              </w:rPr>
              <w:t>`tests/contract`</w:t>
            </w:r>
          </w:p>
        </w:tc>
        <w:tc>
          <w:tcPr>
            <w:tcW w:type="dxa" w:w="3331"/>
            <w:tcMar>
              <w:top w:w="100" w:type="dxa"/>
              <w:start w:w="120" w:type="dxa"/>
              <w:bottom w:w="100" w:type="dxa"/>
              <w:end w:w="120" w:type="dxa"/>
            </w:tcMar>
            <w:vAlign w:val="center"/>
            <w:shd w:fill="F5F7F8"/>
          </w:tcPr>
          <w:p>
            <w:pPr>
              <w:spacing w:after="0" w:line="240" w:lineRule="auto"/>
            </w:pPr>
            <w:r>
              <w:rPr>
                <w:sz w:val="17"/>
              </w:rPr>
              <w:t>Shared conformance suites for ports</w:t>
            </w:r>
          </w:p>
        </w:tc>
        <w:tc>
          <w:tcPr>
            <w:tcW w:type="dxa" w:w="3331"/>
            <w:tcMar>
              <w:top w:w="100" w:type="dxa"/>
              <w:start w:w="120" w:type="dxa"/>
              <w:bottom w:w="100" w:type="dxa"/>
              <w:end w:w="120" w:type="dxa"/>
            </w:tcMar>
            <w:vAlign w:val="center"/>
            <w:shd w:fill="F5F7F8"/>
          </w:tcPr>
          <w:p>
            <w:pPr>
              <w:spacing w:after="0" w:line="240" w:lineRule="auto"/>
            </w:pPr>
            <w:r>
              <w:rPr>
                <w:sz w:val="17"/>
              </w:rPr>
              <w:t>Public protocols and fixtures</w:t>
            </w:r>
          </w:p>
        </w:tc>
      </w:tr>
      <w:tr>
        <w:tc>
          <w:tcPr>
            <w:tcW w:type="dxa" w:w="3331"/>
            <w:tcMar>
              <w:top w:w="100" w:type="dxa"/>
              <w:start w:w="120" w:type="dxa"/>
              <w:bottom w:w="100" w:type="dxa"/>
              <w:end w:w="120" w:type="dxa"/>
            </w:tcMar>
            <w:vAlign w:val="center"/>
          </w:tcPr>
          <w:p>
            <w:pPr>
              <w:spacing w:after="0" w:line="240" w:lineRule="auto"/>
            </w:pPr>
            <w:r>
              <w:rPr>
                <w:sz w:val="17"/>
              </w:rPr>
              <w:t>`tests/integration`</w:t>
            </w:r>
          </w:p>
        </w:tc>
        <w:tc>
          <w:tcPr>
            <w:tcW w:type="dxa" w:w="3331"/>
            <w:tcMar>
              <w:top w:w="100" w:type="dxa"/>
              <w:start w:w="120" w:type="dxa"/>
              <w:bottom w:w="100" w:type="dxa"/>
              <w:end w:w="120" w:type="dxa"/>
            </w:tcMar>
            <w:vAlign w:val="center"/>
          </w:tcPr>
          <w:p>
            <w:pPr>
              <w:spacing w:after="0" w:line="240" w:lineRule="auto"/>
            </w:pPr>
            <w:r>
              <w:rPr>
                <w:sz w:val="17"/>
              </w:rPr>
              <w:t>SQLite, RAGAS, MLflow, provider adapters</w:t>
            </w:r>
          </w:p>
        </w:tc>
        <w:tc>
          <w:tcPr>
            <w:tcW w:type="dxa" w:w="3331"/>
            <w:tcMar>
              <w:top w:w="100" w:type="dxa"/>
              <w:start w:w="120" w:type="dxa"/>
              <w:bottom w:w="100" w:type="dxa"/>
              <w:end w:w="120" w:type="dxa"/>
            </w:tcMar>
            <w:vAlign w:val="center"/>
          </w:tcPr>
          <w:p>
            <w:pPr>
              <w:spacing w:after="0" w:line="240" w:lineRule="auto"/>
            </w:pPr>
            <w:r>
              <w:rPr>
                <w:sz w:val="17"/>
              </w:rPr>
              <w:t>Marked optional extras</w:t>
            </w:r>
          </w:p>
        </w:tc>
      </w:tr>
      <w:tr>
        <w:tc>
          <w:tcPr>
            <w:tcW w:type="dxa" w:w="3331"/>
            <w:tcMar>
              <w:top w:w="100" w:type="dxa"/>
              <w:start w:w="120" w:type="dxa"/>
              <w:bottom w:w="100" w:type="dxa"/>
              <w:end w:w="120" w:type="dxa"/>
            </w:tcMar>
            <w:vAlign w:val="center"/>
            <w:shd w:fill="F5F7F8"/>
          </w:tcPr>
          <w:p>
            <w:pPr>
              <w:spacing w:after="0" w:line="240" w:lineRule="auto"/>
            </w:pPr>
            <w:r>
              <w:rPr>
                <w:sz w:val="17"/>
              </w:rPr>
              <w:t>`tests/e2e`</w:t>
            </w:r>
          </w:p>
        </w:tc>
        <w:tc>
          <w:tcPr>
            <w:tcW w:type="dxa" w:w="3331"/>
            <w:tcMar>
              <w:top w:w="100" w:type="dxa"/>
              <w:start w:w="120" w:type="dxa"/>
              <w:bottom w:w="100" w:type="dxa"/>
              <w:end w:w="120" w:type="dxa"/>
            </w:tcMar>
            <w:vAlign w:val="center"/>
            <w:shd w:fill="F5F7F8"/>
          </w:tcPr>
          <w:p>
            <w:pPr>
              <w:spacing w:after="0" w:line="240" w:lineRule="auto"/>
            </w:pPr>
            <w:r>
              <w:rPr>
                <w:sz w:val="17"/>
              </w:rPr>
              <w:t>Public workflow from dataset to result</w:t>
            </w:r>
          </w:p>
        </w:tc>
        <w:tc>
          <w:tcPr>
            <w:tcW w:type="dxa" w:w="3331"/>
            <w:tcMar>
              <w:top w:w="100" w:type="dxa"/>
              <w:start w:w="120" w:type="dxa"/>
              <w:bottom w:w="100" w:type="dxa"/>
              <w:end w:w="120" w:type="dxa"/>
            </w:tcMar>
            <w:vAlign w:val="center"/>
            <w:shd w:fill="F5F7F8"/>
          </w:tcPr>
          <w:p>
            <w:pPr>
              <w:spacing w:after="0" w:line="240" w:lineRule="auto"/>
            </w:pPr>
            <w:r>
              <w:rPr>
                <w:sz w:val="17"/>
              </w:rPr>
              <w:t>Base package; network excluded by default</w:t>
            </w:r>
          </w:p>
        </w:tc>
      </w:tr>
      <w:tr>
        <w:tc>
          <w:tcPr>
            <w:tcW w:type="dxa" w:w="3331"/>
            <w:tcMar>
              <w:top w:w="100" w:type="dxa"/>
              <w:start w:w="120" w:type="dxa"/>
              <w:bottom w:w="100" w:type="dxa"/>
              <w:end w:w="120" w:type="dxa"/>
            </w:tcMar>
            <w:vAlign w:val="center"/>
          </w:tcPr>
          <w:p>
            <w:pPr>
              <w:spacing w:after="0" w:line="240" w:lineRule="auto"/>
            </w:pPr>
            <w:r>
              <w:rPr>
                <w:sz w:val="17"/>
              </w:rPr>
              <w:t>`tests/migrations`</w:t>
            </w:r>
          </w:p>
        </w:tc>
        <w:tc>
          <w:tcPr>
            <w:tcW w:type="dxa" w:w="3331"/>
            <w:tcMar>
              <w:top w:w="100" w:type="dxa"/>
              <w:start w:w="120" w:type="dxa"/>
              <w:bottom w:w="100" w:type="dxa"/>
              <w:end w:w="120" w:type="dxa"/>
            </w:tcMar>
            <w:vAlign w:val="center"/>
          </w:tcPr>
          <w:p>
            <w:pPr>
              <w:spacing w:after="0" w:line="240" w:lineRule="auto"/>
            </w:pPr>
            <w:r>
              <w:rPr>
                <w:sz w:val="17"/>
              </w:rPr>
              <w:t>Historical database upgrade fixtures</w:t>
            </w:r>
          </w:p>
        </w:tc>
        <w:tc>
          <w:tcPr>
            <w:tcW w:type="dxa" w:w="3331"/>
            <w:tcMar>
              <w:top w:w="100" w:type="dxa"/>
              <w:start w:w="120" w:type="dxa"/>
              <w:bottom w:w="100" w:type="dxa"/>
              <w:end w:w="120" w:type="dxa"/>
            </w:tcMar>
            <w:vAlign w:val="center"/>
          </w:tcPr>
          <w:p>
            <w:pPr>
              <w:spacing w:after="0" w:line="240" w:lineRule="auto"/>
            </w:pPr>
            <w:r>
              <w:rPr>
                <w:sz w:val="17"/>
              </w:rPr>
              <w:t>SQLite implementation</w:t>
            </w:r>
          </w:p>
        </w:tc>
      </w:tr>
      <w:tr>
        <w:tc>
          <w:tcPr>
            <w:tcW w:type="dxa" w:w="3331"/>
            <w:tcMar>
              <w:top w:w="100" w:type="dxa"/>
              <w:start w:w="120" w:type="dxa"/>
              <w:bottom w:w="100" w:type="dxa"/>
              <w:end w:w="120" w:type="dxa"/>
            </w:tcMar>
            <w:vAlign w:val="center"/>
            <w:shd w:fill="F5F7F8"/>
          </w:tcPr>
          <w:p>
            <w:pPr>
              <w:spacing w:after="0" w:line="240" w:lineRule="auto"/>
            </w:pPr>
            <w:r>
              <w:rPr>
                <w:sz w:val="17"/>
              </w:rPr>
              <w:t>`tests/fixtures`</w:t>
            </w:r>
          </w:p>
        </w:tc>
        <w:tc>
          <w:tcPr>
            <w:tcW w:type="dxa" w:w="3331"/>
            <w:tcMar>
              <w:top w:w="100" w:type="dxa"/>
              <w:start w:w="120" w:type="dxa"/>
              <w:bottom w:w="100" w:type="dxa"/>
              <w:end w:w="120" w:type="dxa"/>
            </w:tcMar>
            <w:vAlign w:val="center"/>
            <w:shd w:fill="F5F7F8"/>
          </w:tcPr>
          <w:p>
            <w:pPr>
              <w:spacing w:after="0" w:line="240" w:lineRule="auto"/>
            </w:pPr>
            <w:r>
              <w:rPr>
                <w:sz w:val="17"/>
              </w:rPr>
              <w:t>Small sanitized datasets and databases</w:t>
            </w:r>
          </w:p>
        </w:tc>
        <w:tc>
          <w:tcPr>
            <w:tcW w:type="dxa" w:w="3331"/>
            <w:tcMar>
              <w:top w:w="100" w:type="dxa"/>
              <w:start w:w="120" w:type="dxa"/>
              <w:bottom w:w="100" w:type="dxa"/>
              <w:end w:w="120" w:type="dxa"/>
            </w:tcMar>
            <w:vAlign w:val="center"/>
            <w:shd w:fill="F5F7F8"/>
          </w:tcPr>
          <w:p>
            <w:pPr>
              <w:spacing w:after="0" w:line="240" w:lineRule="auto"/>
            </w:pPr>
            <w:r>
              <w:rPr>
                <w:sz w:val="17"/>
              </w:rPr>
              <w:t>No secrets or copyrighted corpora</w:t>
            </w:r>
          </w:p>
        </w:tc>
      </w:tr>
    </w:tbl>
    <w:p>
      <w:pPr>
        <w:spacing w:after="20"/>
      </w:pPr>
    </w:p>
    <w:p>
      <w:r>
        <w:t xml:space="preserve">Test modules mirror source names where practical. A </w:t>
      </w:r>
      <w:r>
        <w:rPr>
          <w:rFonts w:ascii="Cascadia Mono" w:hAnsi="Cascadia Mono"/>
          <w:sz w:val="18"/>
        </w:rPr>
        <w:t>tests/helpers</w:t>
      </w:r>
      <w:r>
        <w:t xml:space="preserve"> dumping ground is avoided; fixtures belong near the contract they support or in clearly named support modules.</w:t>
      </w:r>
    </w:p>
    <w:p>
      <w:pPr>
        <w:pStyle w:val="Heading1"/>
      </w:pPr>
      <w:r>
        <w:t>Examples</w:t>
      </w:r>
    </w:p>
    <w:p>
      <w:pPr>
        <w:pStyle w:val="Heading2"/>
      </w:pPr>
      <w:r>
        <w:t>reference_rag</w:t>
      </w:r>
    </w:p>
    <w:p>
      <w:r>
        <w:t xml:space="preserve">The current Auto-RAG-Research pipeline is refactored into </w:t>
      </w:r>
      <w:r>
        <w:rPr>
          <w:rFonts w:ascii="Cascadia Mono" w:hAnsi="Cascadia Mono"/>
          <w:sz w:val="18"/>
        </w:rPr>
        <w:t>examples/reference_rag</w:t>
      </w:r>
      <w:r>
        <w:t xml:space="preserve"> as a teaching implementation. It demonstrates PDF extraction, synthetic QA generation, chunking, embedding, retrieval, answer generation, RAGAS evaluation, and an adapter. It is not imported by the package and does not define defaults for production users.</w:t>
      </w:r>
    </w:p>
    <w:p>
      <w:pPr>
        <w:spacing w:before="80" w:after="140" w:line="240" w:lineRule="auto"/>
        <w:ind w:left="360" w:right="216"/>
      </w:pPr>
      <w:r>
        <w:rPr>
          <w:rFonts w:ascii="Cascadia Mono" w:hAnsi="Cascadia Mono"/>
          <w:sz w:val="17"/>
        </w:rPr>
        <w:t>examples/reference_rag/</w:t>
        <w:br/>
      </w:r>
      <w:r>
        <w:rPr>
          <w:rFonts w:ascii="Cascadia Mono" w:hAnsi="Cascadia Mono"/>
          <w:sz w:val="17"/>
        </w:rPr>
        <w:t>|-- README.md</w:t>
        <w:br/>
      </w:r>
      <w:r>
        <w:rPr>
          <w:rFonts w:ascii="Cascadia Mono" w:hAnsi="Cascadia Mono"/>
          <w:sz w:val="17"/>
        </w:rPr>
        <w:t>|-- adapter.py</w:t>
        <w:br/>
      </w:r>
      <w:r>
        <w:rPr>
          <w:rFonts w:ascii="Cascadia Mono" w:hAnsi="Cascadia Mono"/>
          <w:sz w:val="17"/>
        </w:rPr>
        <w:t>|-- pipeline.py</w:t>
        <w:br/>
      </w:r>
      <w:r>
        <w:rPr>
          <w:rFonts w:ascii="Cascadia Mono" w:hAnsi="Cascadia Mono"/>
          <w:sz w:val="17"/>
        </w:rPr>
        <w:t>|-- dataset.py</w:t>
        <w:br/>
      </w:r>
      <w:r>
        <w:rPr>
          <w:rFonts w:ascii="Cascadia Mono" w:hAnsi="Cascadia Mono"/>
          <w:sz w:val="17"/>
        </w:rPr>
        <w:t>|-- config.example.toml</w:t>
        <w:br/>
      </w:r>
      <w:r>
        <w:rPr>
          <w:rFonts w:ascii="Cascadia Mono" w:hAnsi="Cascadia Mono"/>
          <w:sz w:val="17"/>
        </w:rPr>
        <w:t>`-- sample_data/</w:t>
      </w:r>
    </w:p>
    <w:p>
      <w:r>
        <w:t>Examples use environment variables for keys, small redistributable fixtures, explicit cost warnings, and pinned optional extras. Each example is runnable from a clean environment and tested as documentation.</w:t>
      </w:r>
    </w:p>
    <w:p>
      <w:pPr>
        <w:pStyle w:val="Heading1"/>
      </w:pPr>
      <w:r>
        <w:t>Documentation sources</w:t>
      </w:r>
    </w:p>
    <w:p>
      <w:r>
        <w:t xml:space="preserve">The DOCX pack is the detailed design baseline. Repository docs should be source-controlled in a format suitable for review and generated into a documentation site. The API reference is generated from public docstrings. Architecture decisions use short dated records under </w:t>
      </w:r>
      <w:r>
        <w:rPr>
          <w:rFonts w:ascii="Cascadia Mono" w:hAnsi="Cascadia Mono"/>
          <w:sz w:val="18"/>
        </w:rPr>
        <w:t>docs/decisions</w:t>
      </w:r>
      <w:r>
        <w:t>.</w:t>
      </w:r>
    </w:p>
    <w:p>
      <w:pPr>
        <w:pStyle w:val="Heading1"/>
      </w:pPr>
      <w:r>
        <w:t>Scripts and automation</w:t>
      </w:r>
    </w:p>
    <w:p>
      <w:r>
        <w:rPr>
          <w:rFonts w:ascii="Cascadia Mono" w:hAnsi="Cascadia Mono"/>
          <w:sz w:val="18"/>
        </w:rPr>
        <w:t>scripts/</w:t>
      </w:r>
      <w:r>
        <w:t xml:space="preserve"> contains release, schema, benchmark, and maintenance commands that do not belong in the installed package. Scripts call public or designated maintenance APIs and include help text. CI workflows build and test supported Python versions, optional extras, migration fixtures, documentation examples, and release artifacts.</w:t>
      </w:r>
    </w:p>
    <w:p>
      <w:pPr>
        <w:pStyle w:val="Heading1"/>
      </w:pPr>
      <w:r>
        <w:t>Dependency ownership rules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7324D"/>
            <w:tcMar>
              <w:top w:w="115" w:type="dxa"/>
              <w:start w:w="120" w:type="dxa"/>
              <w:bottom w:w="115" w:type="dxa"/>
              <w:end w:w="120" w:type="dxa"/>
            </w:tcMar>
            <w:vAlign w:val="center"/>
          </w:tcPr>
          <w:p>
            <w:r>
              <w:rPr>
                <w:b/>
                <w:color w:val="FFFFFF"/>
                <w:sz w:val="18"/>
              </w:rPr>
              <w:t>If code does this</w:t>
            </w:r>
          </w:p>
        </w:tc>
        <w:tc>
          <w:tcPr>
            <w:tcW w:type="dxa" w:w="4997"/>
            <w:shd w:fill="17324D"/>
            <w:tcMar>
              <w:top w:w="115" w:type="dxa"/>
              <w:start w:w="120" w:type="dxa"/>
              <w:bottom w:w="115" w:type="dxa"/>
              <w:end w:w="120" w:type="dxa"/>
            </w:tcMar>
            <w:vAlign w:val="center"/>
          </w:tcPr>
          <w:p>
            <w:r>
              <w:rPr>
                <w:b/>
                <w:color w:val="FFFFFF"/>
                <w:sz w:val="18"/>
              </w:rPr>
              <w:t>It belongs here</w:t>
            </w:r>
          </w:p>
        </w:tc>
      </w:tr>
      <w:tr>
        <w:tc>
          <w:tcPr>
            <w:tcW w:type="dxa" w:w="4997"/>
            <w:tcMar>
              <w:top w:w="100" w:type="dxa"/>
              <w:start w:w="120" w:type="dxa"/>
              <w:bottom w:w="100" w:type="dxa"/>
              <w:end w:w="120" w:type="dxa"/>
            </w:tcMar>
            <w:vAlign w:val="center"/>
          </w:tcPr>
          <w:p>
            <w:pPr>
              <w:spacing w:after="0" w:line="240" w:lineRule="auto"/>
            </w:pPr>
            <w:r>
              <w:rPr>
                <w:sz w:val="17"/>
              </w:rPr>
              <w:t>Defines a stable domain value</w:t>
            </w:r>
          </w:p>
        </w:tc>
        <w:tc>
          <w:tcPr>
            <w:tcW w:type="dxa" w:w="4997"/>
            <w:tcMar>
              <w:top w:w="100" w:type="dxa"/>
              <w:start w:w="120" w:type="dxa"/>
              <w:bottom w:w="100" w:type="dxa"/>
              <w:end w:w="120" w:type="dxa"/>
            </w:tcMar>
            <w:vAlign w:val="center"/>
          </w:tcPr>
          <w:p>
            <w:pPr>
              <w:spacing w:after="0" w:line="240" w:lineRule="auto"/>
            </w:pPr>
            <w:r>
              <w:rPr>
                <w:sz w:val="17"/>
              </w:rPr>
              <w:t>`domain`</w:t>
            </w:r>
          </w:p>
        </w:tc>
      </w:tr>
      <w:tr>
        <w:tc>
          <w:tcPr>
            <w:tcW w:type="dxa" w:w="4997"/>
            <w:tcMar>
              <w:top w:w="100" w:type="dxa"/>
              <w:start w:w="120" w:type="dxa"/>
              <w:bottom w:w="100" w:type="dxa"/>
              <w:end w:w="120" w:type="dxa"/>
            </w:tcMar>
            <w:vAlign w:val="center"/>
            <w:shd w:fill="F5F7F8"/>
          </w:tcPr>
          <w:p>
            <w:pPr>
              <w:spacing w:after="0" w:line="240" w:lineRule="auto"/>
            </w:pPr>
            <w:r>
              <w:rPr>
                <w:sz w:val="17"/>
              </w:rPr>
              <w:t>Coordinates a study or trial</w:t>
            </w:r>
          </w:p>
        </w:tc>
        <w:tc>
          <w:tcPr>
            <w:tcW w:type="dxa" w:w="4997"/>
            <w:tcMar>
              <w:top w:w="100" w:type="dxa"/>
              <w:start w:w="120" w:type="dxa"/>
              <w:bottom w:w="100" w:type="dxa"/>
              <w:end w:w="120" w:type="dxa"/>
            </w:tcMar>
            <w:vAlign w:val="center"/>
            <w:shd w:fill="F5F7F8"/>
          </w:tcPr>
          <w:p>
            <w:pPr>
              <w:spacing w:after="0" w:line="240" w:lineRule="auto"/>
            </w:pPr>
            <w:r>
              <w:rPr>
                <w:sz w:val="17"/>
              </w:rPr>
              <w:t>`core`</w:t>
            </w:r>
          </w:p>
        </w:tc>
      </w:tr>
      <w:tr>
        <w:tc>
          <w:tcPr>
            <w:tcW w:type="dxa" w:w="4997"/>
            <w:tcMar>
              <w:top w:w="100" w:type="dxa"/>
              <w:start w:w="120" w:type="dxa"/>
              <w:bottom w:w="100" w:type="dxa"/>
              <w:end w:w="120" w:type="dxa"/>
            </w:tcMar>
            <w:vAlign w:val="center"/>
          </w:tcPr>
          <w:p>
            <w:pPr>
              <w:spacing w:after="0" w:line="240" w:lineRule="auto"/>
            </w:pPr>
            <w:r>
              <w:rPr>
                <w:sz w:val="17"/>
              </w:rPr>
              <w:t>Exposes the convenient user entry point</w:t>
            </w:r>
          </w:p>
        </w:tc>
        <w:tc>
          <w:tcPr>
            <w:tcW w:type="dxa" w:w="4997"/>
            <w:tcMar>
              <w:top w:w="100" w:type="dxa"/>
              <w:start w:w="120" w:type="dxa"/>
              <w:bottom w:w="100" w:type="dxa"/>
              <w:end w:w="120" w:type="dxa"/>
            </w:tcMar>
            <w:vAlign w:val="center"/>
          </w:tcPr>
          <w:p>
            <w:pPr>
              <w:spacing w:after="0" w:line="240" w:lineRule="auto"/>
            </w:pPr>
            <w:r>
              <w:rPr>
                <w:sz w:val="17"/>
              </w:rPr>
              <w:t>`api`</w:t>
            </w:r>
          </w:p>
        </w:tc>
      </w:tr>
      <w:tr>
        <w:tc>
          <w:tcPr>
            <w:tcW w:type="dxa" w:w="4997"/>
            <w:tcMar>
              <w:top w:w="100" w:type="dxa"/>
              <w:start w:w="120" w:type="dxa"/>
              <w:bottom w:w="100" w:type="dxa"/>
              <w:end w:w="120" w:type="dxa"/>
            </w:tcMar>
            <w:vAlign w:val="center"/>
            <w:shd w:fill="F5F7F8"/>
          </w:tcPr>
          <w:p>
            <w:pPr>
              <w:spacing w:after="0" w:line="240" w:lineRule="auto"/>
            </w:pPr>
            <w:r>
              <w:rPr>
                <w:sz w:val="17"/>
              </w:rPr>
              <w:t>Implements candidate policy</w:t>
            </w:r>
          </w:p>
        </w:tc>
        <w:tc>
          <w:tcPr>
            <w:tcW w:type="dxa" w:w="4997"/>
            <w:tcMar>
              <w:top w:w="100" w:type="dxa"/>
              <w:start w:w="120" w:type="dxa"/>
              <w:bottom w:w="100" w:type="dxa"/>
              <w:end w:w="120" w:type="dxa"/>
            </w:tcMar>
            <w:vAlign w:val="center"/>
            <w:shd w:fill="F5F7F8"/>
          </w:tcPr>
          <w:p>
            <w:pPr>
              <w:spacing w:after="0" w:line="240" w:lineRule="auto"/>
            </w:pPr>
            <w:r>
              <w:rPr>
                <w:sz w:val="17"/>
              </w:rPr>
              <w:t>`strategies`</w:t>
            </w:r>
          </w:p>
        </w:tc>
      </w:tr>
      <w:tr>
        <w:tc>
          <w:tcPr>
            <w:tcW w:type="dxa" w:w="4997"/>
            <w:tcMar>
              <w:top w:w="100" w:type="dxa"/>
              <w:start w:w="120" w:type="dxa"/>
              <w:bottom w:w="100" w:type="dxa"/>
              <w:end w:w="120" w:type="dxa"/>
            </w:tcMar>
            <w:vAlign w:val="center"/>
          </w:tcPr>
          <w:p>
            <w:pPr>
              <w:spacing w:after="0" w:line="240" w:lineRule="auto"/>
            </w:pPr>
            <w:r>
              <w:rPr>
                <w:sz w:val="17"/>
              </w:rPr>
              <w:t>Produces metrics</w:t>
            </w:r>
          </w:p>
        </w:tc>
        <w:tc>
          <w:tcPr>
            <w:tcW w:type="dxa" w:w="4997"/>
            <w:tcMar>
              <w:top w:w="100" w:type="dxa"/>
              <w:start w:w="120" w:type="dxa"/>
              <w:bottom w:w="100" w:type="dxa"/>
              <w:end w:w="120" w:type="dxa"/>
            </w:tcMar>
            <w:vAlign w:val="center"/>
          </w:tcPr>
          <w:p>
            <w:pPr>
              <w:spacing w:after="0" w:line="240" w:lineRule="auto"/>
            </w:pPr>
            <w:r>
              <w:rPr>
                <w:sz w:val="17"/>
              </w:rPr>
              <w:t>`evaluators` or optional integration</w:t>
            </w:r>
          </w:p>
        </w:tc>
      </w:tr>
      <w:tr>
        <w:tc>
          <w:tcPr>
            <w:tcW w:type="dxa" w:w="4997"/>
            <w:tcMar>
              <w:top w:w="100" w:type="dxa"/>
              <w:start w:w="120" w:type="dxa"/>
              <w:bottom w:w="100" w:type="dxa"/>
              <w:end w:w="120" w:type="dxa"/>
            </w:tcMar>
            <w:vAlign w:val="center"/>
            <w:shd w:fill="F5F7F8"/>
          </w:tcPr>
          <w:p>
            <w:pPr>
              <w:spacing w:after="0" w:line="240" w:lineRule="auto"/>
            </w:pPr>
            <w:r>
              <w:rPr>
                <w:sz w:val="17"/>
              </w:rPr>
              <w:t>Computes ranking</w:t>
            </w:r>
          </w:p>
        </w:tc>
        <w:tc>
          <w:tcPr>
            <w:tcW w:type="dxa" w:w="4997"/>
            <w:tcMar>
              <w:top w:w="100" w:type="dxa"/>
              <w:start w:w="120" w:type="dxa"/>
              <w:bottom w:w="100" w:type="dxa"/>
              <w:end w:w="120" w:type="dxa"/>
            </w:tcMar>
            <w:vAlign w:val="center"/>
            <w:shd w:fill="F5F7F8"/>
          </w:tcPr>
          <w:p>
            <w:pPr>
              <w:spacing w:after="0" w:line="240" w:lineRule="auto"/>
            </w:pPr>
            <w:r>
              <w:rPr>
                <w:sz w:val="17"/>
              </w:rPr>
              <w:t>`objectives`</w:t>
            </w:r>
          </w:p>
        </w:tc>
      </w:tr>
      <w:tr>
        <w:tc>
          <w:tcPr>
            <w:tcW w:type="dxa" w:w="4997"/>
            <w:tcMar>
              <w:top w:w="100" w:type="dxa"/>
              <w:start w:w="120" w:type="dxa"/>
              <w:bottom w:w="100" w:type="dxa"/>
              <w:end w:w="120" w:type="dxa"/>
            </w:tcMar>
            <w:vAlign w:val="center"/>
          </w:tcPr>
          <w:p>
            <w:pPr>
              <w:spacing w:after="0" w:line="240" w:lineRule="auto"/>
            </w:pPr>
            <w:r>
              <w:rPr>
                <w:sz w:val="17"/>
              </w:rPr>
              <w:t>Persists records</w:t>
            </w:r>
          </w:p>
        </w:tc>
        <w:tc>
          <w:tcPr>
            <w:tcW w:type="dxa" w:w="4997"/>
            <w:tcMar>
              <w:top w:w="100" w:type="dxa"/>
              <w:start w:w="120" w:type="dxa"/>
              <w:bottom w:w="100" w:type="dxa"/>
              <w:end w:w="120" w:type="dxa"/>
            </w:tcMar>
            <w:vAlign w:val="center"/>
          </w:tcPr>
          <w:p>
            <w:pPr>
              <w:spacing w:after="0" w:line="240" w:lineRule="auto"/>
            </w:pPr>
            <w:r>
              <w:rPr>
                <w:sz w:val="17"/>
              </w:rPr>
              <w:t>`stores`</w:t>
            </w:r>
          </w:p>
        </w:tc>
      </w:tr>
      <w:tr>
        <w:tc>
          <w:tcPr>
            <w:tcW w:type="dxa" w:w="4997"/>
            <w:tcMar>
              <w:top w:w="100" w:type="dxa"/>
              <w:start w:w="120" w:type="dxa"/>
              <w:bottom w:w="100" w:type="dxa"/>
              <w:end w:w="120" w:type="dxa"/>
            </w:tcMar>
            <w:vAlign w:val="center"/>
            <w:shd w:fill="F5F7F8"/>
          </w:tcPr>
          <w:p>
            <w:pPr>
              <w:spacing w:after="0" w:line="240" w:lineRule="auto"/>
            </w:pPr>
            <w:r>
              <w:rPr>
                <w:sz w:val="17"/>
              </w:rPr>
              <w:t>Talks to a third-party optional system</w:t>
            </w:r>
          </w:p>
        </w:tc>
        <w:tc>
          <w:tcPr>
            <w:tcW w:type="dxa" w:w="4997"/>
            <w:tcMar>
              <w:top w:w="100" w:type="dxa"/>
              <w:start w:w="120" w:type="dxa"/>
              <w:bottom w:w="100" w:type="dxa"/>
              <w:end w:w="120" w:type="dxa"/>
            </w:tcMar>
            <w:vAlign w:val="center"/>
            <w:shd w:fill="F5F7F8"/>
          </w:tcPr>
          <w:p>
            <w:pPr>
              <w:spacing w:after="0" w:line="240" w:lineRule="auto"/>
            </w:pPr>
            <w:r>
              <w:rPr>
                <w:sz w:val="17"/>
              </w:rPr>
              <w:t>`integrations`</w:t>
            </w:r>
          </w:p>
        </w:tc>
      </w:tr>
      <w:tr>
        <w:tc>
          <w:tcPr>
            <w:tcW w:type="dxa" w:w="4997"/>
            <w:tcMar>
              <w:top w:w="100" w:type="dxa"/>
              <w:start w:w="120" w:type="dxa"/>
              <w:bottom w:w="100" w:type="dxa"/>
              <w:end w:w="120" w:type="dxa"/>
            </w:tcMar>
            <w:vAlign w:val="center"/>
          </w:tcPr>
          <w:p>
            <w:pPr>
              <w:spacing w:after="0" w:line="240" w:lineRule="auto"/>
            </w:pPr>
            <w:r>
              <w:rPr>
                <w:sz w:val="17"/>
              </w:rPr>
              <w:t>Demonstrates one RAG stack</w:t>
            </w:r>
          </w:p>
        </w:tc>
        <w:tc>
          <w:tcPr>
            <w:tcW w:type="dxa" w:w="4997"/>
            <w:tcMar>
              <w:top w:w="100" w:type="dxa"/>
              <w:start w:w="120" w:type="dxa"/>
              <w:bottom w:w="100" w:type="dxa"/>
              <w:end w:w="120" w:type="dxa"/>
            </w:tcMar>
            <w:vAlign w:val="center"/>
          </w:tcPr>
          <w:p>
            <w:pPr>
              <w:spacing w:after="0" w:line="240" w:lineRule="auto"/>
            </w:pPr>
            <w:r>
              <w:rPr>
                <w:sz w:val="17"/>
              </w:rPr>
              <w:t>`examples`</w:t>
            </w:r>
          </w:p>
        </w:tc>
      </w:tr>
      <w:tr>
        <w:tc>
          <w:tcPr>
            <w:tcW w:type="dxa" w:w="4997"/>
            <w:tcMar>
              <w:top w:w="100" w:type="dxa"/>
              <w:start w:w="120" w:type="dxa"/>
              <w:bottom w:w="100" w:type="dxa"/>
              <w:end w:w="120" w:type="dxa"/>
            </w:tcMar>
            <w:vAlign w:val="center"/>
            <w:shd w:fill="F5F7F8"/>
          </w:tcPr>
          <w:p>
            <w:pPr>
              <w:spacing w:after="0" w:line="240" w:lineRule="auto"/>
            </w:pPr>
            <w:r>
              <w:rPr>
                <w:sz w:val="17"/>
              </w:rPr>
              <w:t>Presents terminal UX</w:t>
            </w:r>
          </w:p>
        </w:tc>
        <w:tc>
          <w:tcPr>
            <w:tcW w:type="dxa" w:w="4997"/>
            <w:tcMar>
              <w:top w:w="100" w:type="dxa"/>
              <w:start w:w="120" w:type="dxa"/>
              <w:bottom w:w="100" w:type="dxa"/>
              <w:end w:w="120" w:type="dxa"/>
            </w:tcMar>
            <w:vAlign w:val="center"/>
            <w:shd w:fill="F5F7F8"/>
          </w:tcPr>
          <w:p>
            <w:pPr>
              <w:spacing w:after="0" w:line="240" w:lineRule="auto"/>
            </w:pPr>
            <w:r>
              <w:rPr>
                <w:sz w:val="17"/>
              </w:rPr>
              <w:t>`cli`</w:t>
            </w:r>
          </w:p>
        </w:tc>
      </w:tr>
    </w:tbl>
    <w:p>
      <w:pPr>
        <w:spacing w:after="20"/>
      </w:pPr>
    </w:p>
    <w:p>
      <w:pPr>
        <w:pStyle w:val="Heading1"/>
      </w:pPr>
      <w:r>
        <w:t>Files that should not appear</w:t>
      </w:r>
    </w:p>
    <w:p>
      <w:pPr>
        <w:pStyle w:val="ListBullet"/>
      </w:pPr>
      <w:r>
        <w:t xml:space="preserve">A global </w:t>
      </w:r>
      <w:r>
        <w:rPr>
          <w:rFonts w:ascii="Cascadia Mono" w:hAnsi="Cascadia Mono"/>
          <w:sz w:val="18"/>
        </w:rPr>
        <w:t>utils.py</w:t>
      </w:r>
      <w:r>
        <w:t xml:space="preserve"> containing unrelated helpers.</w:t>
      </w:r>
    </w:p>
    <w:p>
      <w:pPr>
        <w:pStyle w:val="ListBullet"/>
      </w:pPr>
      <w:r>
        <w:t xml:space="preserve">A </w:t>
      </w:r>
      <w:r>
        <w:rPr>
          <w:rFonts w:ascii="Cascadia Mono" w:hAnsi="Cascadia Mono"/>
          <w:sz w:val="18"/>
        </w:rPr>
        <w:t>manager.py</w:t>
      </w:r>
      <w:r>
        <w:t xml:space="preserve"> that owns several domains.</w:t>
      </w:r>
    </w:p>
    <w:p>
      <w:pPr>
        <w:pStyle w:val="ListBullet"/>
      </w:pPr>
      <w:r>
        <w:t>Provider SDK imports in core modules.</w:t>
      </w:r>
    </w:p>
    <w:p>
      <w:pPr>
        <w:pStyle w:val="ListBullet"/>
      </w:pPr>
      <w:r>
        <w:t xml:space="preserve">Example pipeline code under </w:t>
      </w:r>
      <w:r>
        <w:rPr>
          <w:rFonts w:ascii="Cascadia Mono" w:hAnsi="Cascadia Mono"/>
          <w:sz w:val="18"/>
        </w:rPr>
        <w:t>src/autorag_tuner</w:t>
      </w:r>
      <w:r>
        <w:t>.</w:t>
      </w:r>
    </w:p>
    <w:p>
      <w:pPr>
        <w:pStyle w:val="ListBullet"/>
      </w:pPr>
      <w:r>
        <w:t>Generated databases, cache entries, provider recordings, or user datasets in source control.</w:t>
      </w:r>
    </w:p>
    <w:p>
      <w:pPr>
        <w:pStyle w:val="ListBullet"/>
      </w:pPr>
      <w:r>
        <w:t>Migration logic embedded only in application startup without versioned files.</w:t>
      </w:r>
    </w:p>
    <w:p>
      <w:pPr>
        <w:pStyle w:val="ListBullet"/>
      </w:pPr>
      <w:r>
        <w:t>Multiple configuration systems with overlapping precedence.</w:t>
      </w:r>
    </w:p>
    <w:p>
      <w:pPr>
        <w:pStyle w:val="Heading1"/>
      </w:pPr>
      <w:r>
        <w:t>Packaging and release contents</w:t>
      </w:r>
    </w:p>
    <w:p>
      <w:r>
        <w:t xml:space="preserve">The source distribution includes migrations, typing marker, license, readme, and required schemas. The wheel excludes tests, large examples, generated documentation, local databases, and caches. Optional extras are grouped by capability: </w:t>
      </w:r>
      <w:r>
        <w:rPr>
          <w:rFonts w:ascii="Cascadia Mono" w:hAnsi="Cascadia Mono"/>
          <w:sz w:val="18"/>
        </w:rPr>
        <w:t>ragas</w:t>
      </w:r>
      <w:r>
        <w:t xml:space="preserve">, </w:t>
      </w:r>
      <w:r>
        <w:rPr>
          <w:rFonts w:ascii="Cascadia Mono" w:hAnsi="Cascadia Mono"/>
          <w:sz w:val="18"/>
        </w:rPr>
        <w:t>mlflow</w:t>
      </w:r>
      <w:r>
        <w:t xml:space="preserve">, </w:t>
      </w:r>
      <w:r>
        <w:rPr>
          <w:rFonts w:ascii="Cascadia Mono" w:hAnsi="Cascadia Mono"/>
          <w:sz w:val="18"/>
        </w:rPr>
        <w:t>openai</w:t>
      </w:r>
      <w:r>
        <w:t xml:space="preserve">, </w:t>
      </w:r>
      <w:r>
        <w:rPr>
          <w:rFonts w:ascii="Cascadia Mono" w:hAnsi="Cascadia Mono"/>
          <w:sz w:val="18"/>
        </w:rPr>
        <w:t>dev</w:t>
      </w:r>
      <w:r>
        <w:t xml:space="preserve">, and later framework adapters. </w:t>
      </w:r>
      <w:r>
        <w:rPr>
          <w:rFonts w:ascii="Cascadia Mono" w:hAnsi="Cascadia Mono"/>
          <w:sz w:val="18"/>
        </w:rPr>
        <w:t>all</w:t>
      </w:r>
      <w:r>
        <w:t xml:space="preserve"> may exist for convenience but is not used in CI as a substitute for testing each extra boundary.</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File Folder Structure</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